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BB59" w14:textId="4E65B1E3" w:rsidR="00273088" w:rsidRPr="00D470FD" w:rsidRDefault="00273088">
      <w:pPr>
        <w:rPr>
          <w:rFonts w:cs="Arial"/>
        </w:rPr>
      </w:pPr>
    </w:p>
    <w:p w14:paraId="2E663F76" w14:textId="239D5E39" w:rsidR="00C42921" w:rsidRPr="00D470FD" w:rsidRDefault="00C42921">
      <w:pPr>
        <w:rPr>
          <w:rFonts w:cs="Arial"/>
        </w:rPr>
      </w:pPr>
    </w:p>
    <w:p w14:paraId="673467B4" w14:textId="607B4AAB" w:rsidR="00C42921" w:rsidRPr="00D470FD" w:rsidRDefault="00C42921">
      <w:pPr>
        <w:rPr>
          <w:rFonts w:cs="Arial"/>
        </w:rPr>
      </w:pPr>
    </w:p>
    <w:p w14:paraId="74EC59A2" w14:textId="2A37A20D" w:rsidR="00C42921" w:rsidRPr="00D470FD" w:rsidRDefault="00C42921">
      <w:pPr>
        <w:rPr>
          <w:rFonts w:cs="Arial"/>
        </w:rPr>
      </w:pPr>
    </w:p>
    <w:p w14:paraId="33508C7D" w14:textId="342A60FE" w:rsidR="00C42921" w:rsidRPr="00D470FD" w:rsidRDefault="00C42921">
      <w:pPr>
        <w:rPr>
          <w:rFonts w:cs="Arial"/>
        </w:rPr>
      </w:pPr>
    </w:p>
    <w:p w14:paraId="58D7B1FC" w14:textId="65D3F5D9" w:rsidR="00C42921" w:rsidRPr="00D470FD" w:rsidRDefault="00C42921">
      <w:pPr>
        <w:rPr>
          <w:rFonts w:cs="Arial"/>
        </w:rPr>
      </w:pPr>
    </w:p>
    <w:p w14:paraId="7D78A1BD" w14:textId="1B3B209E" w:rsidR="00C42921" w:rsidRPr="00D470FD" w:rsidRDefault="00C42921" w:rsidP="00C42921">
      <w:pPr>
        <w:keepNext/>
        <w:tabs>
          <w:tab w:val="left" w:pos="907"/>
        </w:tabs>
        <w:outlineLvl w:val="0"/>
        <w:rPr>
          <w:rFonts w:cs="Arial"/>
          <w:b/>
          <w:bCs/>
          <w:caps/>
        </w:rPr>
      </w:pPr>
    </w:p>
    <w:tbl>
      <w:tblPr>
        <w:tblW w:w="9242" w:type="dxa"/>
        <w:tblInd w:w="198" w:type="dxa"/>
        <w:tblBorders>
          <w:top w:val="thinThickSmallGap" w:sz="24" w:space="0" w:color="ED7D31"/>
          <w:left w:val="thinThickSmallGap" w:sz="24" w:space="0" w:color="ED7D31"/>
          <w:bottom w:val="thickThinSmallGap" w:sz="24" w:space="0" w:color="ED7D31"/>
          <w:right w:val="thickThinSmallGap" w:sz="24" w:space="0" w:color="ED7D31"/>
        </w:tblBorders>
        <w:tblLook w:val="04A0" w:firstRow="1" w:lastRow="0" w:firstColumn="1" w:lastColumn="0" w:noHBand="0" w:noVBand="1"/>
      </w:tblPr>
      <w:tblGrid>
        <w:gridCol w:w="9242"/>
      </w:tblGrid>
      <w:tr w:rsidR="00C42921" w:rsidRPr="00D470FD" w14:paraId="6AA6C75D" w14:textId="77777777" w:rsidTr="00E03ACF">
        <w:tc>
          <w:tcPr>
            <w:tcW w:w="9242" w:type="dxa"/>
            <w:shd w:val="clear" w:color="auto" w:fill="auto"/>
          </w:tcPr>
          <w:p w14:paraId="6FA5951B" w14:textId="77777777" w:rsidR="00ED3B23" w:rsidRDefault="00ED3B23" w:rsidP="00C42921">
            <w:pPr>
              <w:keepNext/>
              <w:tabs>
                <w:tab w:val="left" w:pos="907"/>
              </w:tabs>
              <w:jc w:val="center"/>
              <w:outlineLvl w:val="0"/>
              <w:rPr>
                <w:rFonts w:cs="Arial"/>
                <w:b/>
                <w:bCs/>
                <w:sz w:val="48"/>
                <w:szCs w:val="48"/>
              </w:rPr>
            </w:pPr>
          </w:p>
          <w:p w14:paraId="3AC48594" w14:textId="464C13EF" w:rsidR="005B6CFF" w:rsidRPr="00ED3B23" w:rsidRDefault="00642F71" w:rsidP="00C42921">
            <w:pPr>
              <w:keepNext/>
              <w:tabs>
                <w:tab w:val="left" w:pos="907"/>
              </w:tabs>
              <w:jc w:val="center"/>
              <w:outlineLvl w:val="0"/>
              <w:rPr>
                <w:rFonts w:cs="Arial"/>
                <w:b/>
                <w:bCs/>
                <w:sz w:val="48"/>
                <w:szCs w:val="48"/>
              </w:rPr>
            </w:pPr>
            <w:r w:rsidRPr="00ED3B23">
              <w:rPr>
                <w:rFonts w:cs="Arial"/>
                <w:b/>
                <w:bCs/>
                <w:sz w:val="48"/>
                <w:szCs w:val="48"/>
              </w:rPr>
              <w:t xml:space="preserve">EVIDENCING </w:t>
            </w:r>
            <w:r w:rsidR="00C50ADC" w:rsidRPr="00ED3B23">
              <w:rPr>
                <w:rFonts w:cs="Arial"/>
                <w:b/>
                <w:bCs/>
                <w:sz w:val="48"/>
                <w:szCs w:val="48"/>
              </w:rPr>
              <w:t xml:space="preserve">KEY </w:t>
            </w:r>
            <w:r w:rsidR="005B6CFF" w:rsidRPr="00ED3B23">
              <w:rPr>
                <w:rFonts w:cs="Arial"/>
                <w:b/>
                <w:bCs/>
                <w:sz w:val="48"/>
                <w:szCs w:val="48"/>
              </w:rPr>
              <w:t xml:space="preserve">HN </w:t>
            </w:r>
            <w:r w:rsidRPr="00ED3B23">
              <w:rPr>
                <w:rFonts w:cs="Arial"/>
                <w:b/>
                <w:bCs/>
                <w:sz w:val="48"/>
                <w:szCs w:val="48"/>
              </w:rPr>
              <w:t>GUIDING CHARACTERISTICS</w:t>
            </w:r>
            <w:r w:rsidR="00C4699E" w:rsidRPr="00ED3B23">
              <w:rPr>
                <w:rFonts w:cs="Arial"/>
                <w:b/>
                <w:bCs/>
                <w:sz w:val="48"/>
                <w:szCs w:val="48"/>
              </w:rPr>
              <w:t xml:space="preserve"> </w:t>
            </w:r>
          </w:p>
          <w:p w14:paraId="0BDB7453" w14:textId="77777777" w:rsidR="00C42921" w:rsidRDefault="00C4699E" w:rsidP="00C42921">
            <w:pPr>
              <w:keepNext/>
              <w:tabs>
                <w:tab w:val="left" w:pos="907"/>
              </w:tabs>
              <w:jc w:val="center"/>
              <w:outlineLvl w:val="0"/>
              <w:rPr>
                <w:rFonts w:cs="Arial"/>
                <w:b/>
                <w:bCs/>
                <w:sz w:val="48"/>
                <w:szCs w:val="48"/>
              </w:rPr>
            </w:pPr>
            <w:r w:rsidRPr="00ED3B23">
              <w:rPr>
                <w:rFonts w:cs="Arial"/>
                <w:b/>
                <w:bCs/>
                <w:sz w:val="48"/>
                <w:szCs w:val="48"/>
              </w:rPr>
              <w:t>(HIGHER NATIONAL COURSES ONLY)</w:t>
            </w:r>
          </w:p>
          <w:p w14:paraId="38352A5B" w14:textId="3E56327B" w:rsidR="00ED3B23" w:rsidRPr="00ED3B23" w:rsidRDefault="00ED3B23" w:rsidP="00C42921">
            <w:pPr>
              <w:keepNext/>
              <w:tabs>
                <w:tab w:val="left" w:pos="907"/>
              </w:tabs>
              <w:jc w:val="center"/>
              <w:outlineLvl w:val="0"/>
              <w:rPr>
                <w:rFonts w:cs="Arial"/>
                <w:b/>
                <w:bCs/>
                <w:sz w:val="48"/>
                <w:szCs w:val="48"/>
              </w:rPr>
            </w:pPr>
          </w:p>
        </w:tc>
      </w:tr>
    </w:tbl>
    <w:p w14:paraId="0F8B75DA" w14:textId="3B8A4172" w:rsidR="00C42921" w:rsidRPr="00D470FD" w:rsidRDefault="00C42921">
      <w:pPr>
        <w:rPr>
          <w:rFonts w:cs="Arial"/>
        </w:rPr>
      </w:pPr>
    </w:p>
    <w:p w14:paraId="41FD8150" w14:textId="3556BE2B" w:rsidR="00C42921" w:rsidRPr="00D470FD" w:rsidRDefault="00C42921">
      <w:pPr>
        <w:rPr>
          <w:rFonts w:cs="Arial"/>
        </w:rPr>
      </w:pPr>
    </w:p>
    <w:p w14:paraId="5BCA44DF" w14:textId="79C10343" w:rsidR="00C42921" w:rsidRPr="00D470FD" w:rsidRDefault="00C42921">
      <w:pPr>
        <w:rPr>
          <w:rFonts w:cs="Arial"/>
        </w:rPr>
      </w:pPr>
    </w:p>
    <w:p w14:paraId="7CA722E3" w14:textId="32F260EB" w:rsidR="00C42921" w:rsidRPr="00D470FD" w:rsidRDefault="00C42921">
      <w:pPr>
        <w:rPr>
          <w:rFonts w:cs="Arial"/>
        </w:rPr>
      </w:pPr>
    </w:p>
    <w:p w14:paraId="177CD3FE" w14:textId="2ADD68BA" w:rsidR="00C42921" w:rsidRPr="00D470FD" w:rsidRDefault="00C42921">
      <w:pPr>
        <w:rPr>
          <w:rFonts w:cs="Arial"/>
        </w:rPr>
      </w:pPr>
    </w:p>
    <w:p w14:paraId="0B077CEB" w14:textId="394FF294" w:rsidR="00C42921" w:rsidRPr="00D470FD" w:rsidRDefault="00C42921">
      <w:pPr>
        <w:rPr>
          <w:rFonts w:cs="Arial"/>
        </w:rPr>
      </w:pPr>
    </w:p>
    <w:p w14:paraId="4B19DBE0" w14:textId="3A14FE7C" w:rsidR="00C42921" w:rsidRPr="00D470FD" w:rsidRDefault="00C42921">
      <w:pPr>
        <w:rPr>
          <w:rFonts w:cs="Arial"/>
        </w:rPr>
      </w:pPr>
    </w:p>
    <w:p w14:paraId="5273BA48" w14:textId="616CF0AE" w:rsidR="00C42921" w:rsidRDefault="00C42921">
      <w:pPr>
        <w:rPr>
          <w:rFonts w:cs="Arial"/>
        </w:rPr>
      </w:pPr>
    </w:p>
    <w:p w14:paraId="2B5A39D3" w14:textId="3F691BBC" w:rsidR="00ED3B23" w:rsidRDefault="00ED3B23">
      <w:pPr>
        <w:rPr>
          <w:rFonts w:cs="Arial"/>
        </w:rPr>
      </w:pPr>
    </w:p>
    <w:p w14:paraId="3E59CB19" w14:textId="15D142B8" w:rsidR="00ED3B23" w:rsidRDefault="00ED3B23">
      <w:pPr>
        <w:rPr>
          <w:rFonts w:cs="Arial"/>
        </w:rPr>
      </w:pPr>
    </w:p>
    <w:p w14:paraId="17F94F02" w14:textId="5258C21D" w:rsidR="00ED3B23" w:rsidRDefault="00ED3B23">
      <w:pPr>
        <w:rPr>
          <w:rFonts w:cs="Arial"/>
        </w:rPr>
      </w:pPr>
    </w:p>
    <w:p w14:paraId="321BA9D4" w14:textId="6A4EF4F1" w:rsidR="00ED3B23" w:rsidRDefault="00ED3B23">
      <w:pPr>
        <w:rPr>
          <w:rFonts w:cs="Arial"/>
        </w:rPr>
      </w:pPr>
    </w:p>
    <w:p w14:paraId="05EA0EAE" w14:textId="77777777" w:rsidR="00ED3B23" w:rsidRPr="00D470FD" w:rsidRDefault="00ED3B23">
      <w:pPr>
        <w:rPr>
          <w:rFonts w:cs="Arial"/>
        </w:rPr>
      </w:pPr>
    </w:p>
    <w:p w14:paraId="6763F23B" w14:textId="0050AAA3" w:rsidR="00C42921" w:rsidRPr="00D470FD" w:rsidRDefault="00C42921">
      <w:pPr>
        <w:rPr>
          <w:rFonts w:cs="Arial"/>
        </w:rPr>
      </w:pPr>
    </w:p>
    <w:p w14:paraId="31AEE397" w14:textId="1D5DF06D" w:rsidR="00C42921" w:rsidRPr="00D470FD" w:rsidRDefault="00C42921">
      <w:pPr>
        <w:rPr>
          <w:rFonts w:cs="Arial"/>
        </w:rPr>
      </w:pPr>
    </w:p>
    <w:p w14:paraId="37DD3BEC" w14:textId="3D509AA9" w:rsidR="00C42921" w:rsidRPr="00D470FD" w:rsidRDefault="00C42921">
      <w:pPr>
        <w:rPr>
          <w:rFonts w:cs="Arial"/>
        </w:rPr>
      </w:pPr>
    </w:p>
    <w:p w14:paraId="584A1BA3" w14:textId="2E1318AE" w:rsidR="00C42921" w:rsidRPr="00D470FD" w:rsidRDefault="00C42921">
      <w:pPr>
        <w:rPr>
          <w:rFonts w:cs="Arial"/>
        </w:rPr>
      </w:pPr>
    </w:p>
    <w:p w14:paraId="2DA6843C" w14:textId="682BAE09" w:rsidR="00C42921" w:rsidRPr="00D470FD" w:rsidRDefault="00C42921">
      <w:pPr>
        <w:rPr>
          <w:rFonts w:cs="Arial"/>
        </w:rPr>
      </w:pPr>
    </w:p>
    <w:p w14:paraId="6EC090F8" w14:textId="6C86640A" w:rsidR="00C42921" w:rsidRPr="00D470FD" w:rsidRDefault="00C42921">
      <w:pPr>
        <w:rPr>
          <w:rFonts w:cs="Arial"/>
        </w:rPr>
      </w:pPr>
    </w:p>
    <w:p w14:paraId="7AB8CDD6" w14:textId="1EBD94D6" w:rsidR="00C42921" w:rsidRPr="00D470FD" w:rsidRDefault="00C42921">
      <w:pPr>
        <w:rPr>
          <w:rFonts w:cs="Arial"/>
        </w:rPr>
      </w:pPr>
    </w:p>
    <w:p w14:paraId="6A03A696" w14:textId="291AC852" w:rsidR="00C42921" w:rsidRPr="00D470FD" w:rsidRDefault="00C42921">
      <w:pPr>
        <w:rPr>
          <w:rFonts w:cs="Arial"/>
        </w:rPr>
      </w:pPr>
    </w:p>
    <w:p w14:paraId="0383C6FD" w14:textId="7175792D" w:rsidR="00C42921" w:rsidRPr="00D470FD" w:rsidRDefault="00C42921">
      <w:pPr>
        <w:rPr>
          <w:rFonts w:cs="Arial"/>
        </w:rPr>
      </w:pPr>
    </w:p>
    <w:p w14:paraId="42B6A610" w14:textId="740D913F" w:rsidR="00C42921" w:rsidRPr="00D470FD" w:rsidRDefault="00C42921">
      <w:pPr>
        <w:rPr>
          <w:rFonts w:cs="Arial"/>
        </w:rPr>
      </w:pPr>
    </w:p>
    <w:p w14:paraId="478A0B22" w14:textId="15D9EAE6" w:rsidR="00C42921" w:rsidRPr="00D470FD" w:rsidRDefault="00C42921">
      <w:pPr>
        <w:rPr>
          <w:rFonts w:cs="Arial"/>
        </w:rPr>
      </w:pPr>
    </w:p>
    <w:tbl>
      <w:tblPr>
        <w:tblW w:w="63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C42921" w:rsidRPr="00D470FD" w14:paraId="66D3CA23" w14:textId="77777777" w:rsidTr="00E03ACF">
        <w:tc>
          <w:tcPr>
            <w:tcW w:w="6390" w:type="dxa"/>
            <w:shd w:val="clear" w:color="auto" w:fill="auto"/>
          </w:tcPr>
          <w:p w14:paraId="545D3E45" w14:textId="77777777" w:rsidR="00C42921" w:rsidRPr="00ED3B23" w:rsidRDefault="00C42921" w:rsidP="00E03ACF">
            <w:pPr>
              <w:rPr>
                <w:rFonts w:eastAsia="Calibri" w:cs="Arial"/>
                <w:b/>
                <w:bCs/>
                <w:sz w:val="20"/>
                <w:szCs w:val="20"/>
              </w:rPr>
            </w:pPr>
          </w:p>
          <w:p w14:paraId="182AD089" w14:textId="77777777" w:rsidR="00C42921" w:rsidRPr="00ED3B23" w:rsidRDefault="00C42921" w:rsidP="00E03ACF">
            <w:pPr>
              <w:rPr>
                <w:rFonts w:eastAsia="Calibri" w:cs="Arial"/>
                <w:bCs/>
                <w:sz w:val="20"/>
                <w:szCs w:val="20"/>
                <w:lang w:val="x-none"/>
              </w:rPr>
            </w:pPr>
            <w:r w:rsidRPr="00ED3B23">
              <w:rPr>
                <w:rFonts w:eastAsia="Calibri" w:cs="Arial"/>
                <w:b/>
                <w:bCs/>
                <w:sz w:val="20"/>
                <w:szCs w:val="20"/>
              </w:rPr>
              <w:t xml:space="preserve">Document </w:t>
            </w:r>
            <w:r w:rsidRPr="00ED3B23">
              <w:rPr>
                <w:rFonts w:eastAsia="Calibri" w:cs="Arial"/>
                <w:b/>
                <w:bCs/>
                <w:sz w:val="20"/>
                <w:szCs w:val="20"/>
                <w:lang w:val="x-none"/>
              </w:rPr>
              <w:t>Owner:</w:t>
            </w:r>
            <w:r w:rsidRPr="00ED3B23">
              <w:rPr>
                <w:rFonts w:eastAsia="Calibri" w:cs="Arial"/>
                <w:b/>
                <w:bCs/>
                <w:sz w:val="20"/>
                <w:szCs w:val="20"/>
                <w:lang w:val="x-none"/>
              </w:rPr>
              <w:tab/>
            </w:r>
            <w:r w:rsidRPr="00ED3B23">
              <w:rPr>
                <w:rFonts w:eastAsia="Calibri" w:cs="Arial"/>
                <w:sz w:val="20"/>
                <w:szCs w:val="20"/>
              </w:rPr>
              <w:t>Student Learning &amp; Academic Registry</w:t>
            </w:r>
            <w:r w:rsidRPr="00ED3B23">
              <w:rPr>
                <w:rFonts w:eastAsia="Calibri" w:cs="Arial"/>
                <w:b/>
                <w:bCs/>
                <w:sz w:val="20"/>
                <w:szCs w:val="20"/>
              </w:rPr>
              <w:t xml:space="preserve"> </w:t>
            </w:r>
          </w:p>
          <w:p w14:paraId="3D8EC7B9" w14:textId="1E402C27" w:rsidR="00C42921" w:rsidRPr="00ED3B23" w:rsidRDefault="00C42921" w:rsidP="00E03ACF">
            <w:pPr>
              <w:rPr>
                <w:rFonts w:eastAsia="Calibri" w:cs="Arial"/>
                <w:bCs/>
                <w:sz w:val="20"/>
                <w:szCs w:val="20"/>
                <w:lang w:val="x-none"/>
              </w:rPr>
            </w:pPr>
            <w:r w:rsidRPr="00ED3B23">
              <w:rPr>
                <w:rFonts w:eastAsia="Calibri" w:cs="Arial"/>
                <w:b/>
                <w:bCs/>
                <w:sz w:val="20"/>
                <w:szCs w:val="20"/>
                <w:lang w:val="x-none"/>
              </w:rPr>
              <w:t>Version number:</w:t>
            </w:r>
            <w:r w:rsidRPr="00ED3B23">
              <w:rPr>
                <w:rFonts w:eastAsia="Calibri" w:cs="Arial"/>
                <w:b/>
                <w:bCs/>
                <w:sz w:val="20"/>
                <w:szCs w:val="20"/>
                <w:lang w:val="x-none"/>
              </w:rPr>
              <w:tab/>
            </w:r>
            <w:r w:rsidRPr="00ED3B23">
              <w:rPr>
                <w:rFonts w:eastAsia="Calibri" w:cs="Arial"/>
                <w:b/>
                <w:bCs/>
                <w:sz w:val="20"/>
                <w:szCs w:val="20"/>
              </w:rPr>
              <w:t>1.</w:t>
            </w:r>
            <w:r w:rsidR="00ED3B23">
              <w:rPr>
                <w:rFonts w:eastAsia="Calibri" w:cs="Arial"/>
                <w:b/>
                <w:bCs/>
                <w:sz w:val="20"/>
                <w:szCs w:val="20"/>
              </w:rPr>
              <w:t>1</w:t>
            </w:r>
          </w:p>
          <w:p w14:paraId="2990E7A3" w14:textId="77777777" w:rsidR="00C42921" w:rsidRPr="00ED3B23" w:rsidRDefault="00C42921" w:rsidP="00E03ACF">
            <w:pPr>
              <w:overflowPunct w:val="0"/>
              <w:autoSpaceDE w:val="0"/>
              <w:autoSpaceDN w:val="0"/>
              <w:adjustRightInd w:val="0"/>
              <w:textAlignment w:val="baseline"/>
              <w:rPr>
                <w:rFonts w:cs="Arial"/>
                <w:sz w:val="20"/>
                <w:szCs w:val="20"/>
                <w:lang w:val="en-US"/>
              </w:rPr>
            </w:pPr>
            <w:r w:rsidRPr="00ED3B23">
              <w:rPr>
                <w:rFonts w:cs="Arial"/>
                <w:b/>
                <w:bCs/>
                <w:sz w:val="20"/>
                <w:szCs w:val="20"/>
                <w:lang w:val="en-US"/>
              </w:rPr>
              <w:t>Effective date:</w:t>
            </w:r>
            <w:r w:rsidRPr="00ED3B23">
              <w:rPr>
                <w:rFonts w:cs="Arial"/>
                <w:sz w:val="20"/>
                <w:szCs w:val="20"/>
                <w:lang w:val="en-US"/>
              </w:rPr>
              <w:tab/>
            </w:r>
            <w:r w:rsidRPr="00ED3B23">
              <w:rPr>
                <w:rFonts w:cs="Arial"/>
                <w:sz w:val="20"/>
                <w:szCs w:val="20"/>
                <w:lang w:val="en-US"/>
              </w:rPr>
              <w:tab/>
              <w:t>September 2023 (Academic Year 2023-24)</w:t>
            </w:r>
          </w:p>
          <w:p w14:paraId="3713337A" w14:textId="77777777" w:rsidR="00C42921" w:rsidRPr="00ED3B23" w:rsidRDefault="00C42921" w:rsidP="00E03ACF">
            <w:pPr>
              <w:overflowPunct w:val="0"/>
              <w:autoSpaceDE w:val="0"/>
              <w:autoSpaceDN w:val="0"/>
              <w:adjustRightInd w:val="0"/>
              <w:textAlignment w:val="baseline"/>
              <w:rPr>
                <w:rFonts w:cs="Arial"/>
                <w:sz w:val="20"/>
                <w:szCs w:val="20"/>
                <w:lang w:val="en-US"/>
              </w:rPr>
            </w:pPr>
            <w:r w:rsidRPr="00ED3B23">
              <w:rPr>
                <w:rFonts w:cs="Arial"/>
                <w:b/>
                <w:bCs/>
                <w:sz w:val="20"/>
                <w:szCs w:val="20"/>
                <w:lang w:val="en-US"/>
              </w:rPr>
              <w:t xml:space="preserve">Date of next review:  </w:t>
            </w:r>
            <w:r w:rsidRPr="00ED3B23">
              <w:rPr>
                <w:rFonts w:cs="Arial"/>
                <w:b/>
                <w:bCs/>
                <w:sz w:val="20"/>
                <w:szCs w:val="20"/>
                <w:lang w:val="en-US"/>
              </w:rPr>
              <w:tab/>
            </w:r>
            <w:r w:rsidRPr="00ED3B23">
              <w:rPr>
                <w:rFonts w:cs="Arial"/>
                <w:sz w:val="20"/>
                <w:szCs w:val="20"/>
                <w:lang w:val="en-US"/>
              </w:rPr>
              <w:t>July 2024</w:t>
            </w:r>
          </w:p>
          <w:p w14:paraId="76AAB24C" w14:textId="77777777" w:rsidR="00C42921" w:rsidRPr="00ED3B23" w:rsidRDefault="00C42921" w:rsidP="00E03ACF">
            <w:pPr>
              <w:overflowPunct w:val="0"/>
              <w:autoSpaceDE w:val="0"/>
              <w:autoSpaceDN w:val="0"/>
              <w:adjustRightInd w:val="0"/>
              <w:textAlignment w:val="baseline"/>
              <w:rPr>
                <w:rFonts w:cs="Arial"/>
                <w:sz w:val="20"/>
                <w:szCs w:val="20"/>
                <w:lang w:val="en-US"/>
              </w:rPr>
            </w:pPr>
          </w:p>
          <w:p w14:paraId="0D870BCB" w14:textId="77777777" w:rsidR="00C42921" w:rsidRPr="00ED3B23" w:rsidRDefault="00C42921" w:rsidP="00E03ACF">
            <w:pPr>
              <w:rPr>
                <w:rFonts w:cs="Arial"/>
                <w:sz w:val="20"/>
                <w:szCs w:val="20"/>
              </w:rPr>
            </w:pPr>
            <w:r w:rsidRPr="00ED3B23">
              <w:rPr>
                <w:rFonts w:cs="Arial"/>
                <w:i/>
                <w:iCs/>
                <w:sz w:val="20"/>
                <w:szCs w:val="20"/>
              </w:rPr>
              <w:t xml:space="preserve">This document is part of the University Quality Framework, which governs the University’s academic provision. </w:t>
            </w:r>
          </w:p>
          <w:p w14:paraId="10DC19BB" w14:textId="77777777" w:rsidR="00C42921" w:rsidRPr="00ED3B23" w:rsidRDefault="00C42921" w:rsidP="00E03ACF">
            <w:pPr>
              <w:rPr>
                <w:rFonts w:cs="Arial"/>
                <w:sz w:val="20"/>
                <w:szCs w:val="20"/>
              </w:rPr>
            </w:pPr>
          </w:p>
        </w:tc>
      </w:tr>
    </w:tbl>
    <w:p w14:paraId="64154156" w14:textId="221F7018" w:rsidR="00C42921" w:rsidRPr="00D470FD" w:rsidRDefault="00C42921">
      <w:pPr>
        <w:rPr>
          <w:rFonts w:cs="Arial"/>
        </w:rPr>
      </w:pPr>
    </w:p>
    <w:p w14:paraId="62DDB939" w14:textId="77777777" w:rsidR="00C42921" w:rsidRPr="00D470FD" w:rsidRDefault="00C42921">
      <w:pPr>
        <w:spacing w:after="160" w:line="259" w:lineRule="auto"/>
        <w:rPr>
          <w:rFonts w:cs="Arial"/>
        </w:rPr>
        <w:sectPr w:rsidR="00C42921" w:rsidRPr="00D470FD" w:rsidSect="00ED3B23">
          <w:headerReference w:type="default" r:id="rId7"/>
          <w:type w:val="continuous"/>
          <w:pgSz w:w="11906" w:h="16838" w:code="9"/>
          <w:pgMar w:top="1440" w:right="1440" w:bottom="1440" w:left="1440" w:header="706" w:footer="706" w:gutter="0"/>
          <w:cols w:space="708"/>
          <w:docGrid w:linePitch="360"/>
        </w:sectPr>
      </w:pPr>
    </w:p>
    <w:p w14:paraId="72F690E0" w14:textId="19BE7CA6" w:rsidR="00C42921" w:rsidRPr="00D470FD" w:rsidRDefault="00467FDB" w:rsidP="00C42921">
      <w:pPr>
        <w:tabs>
          <w:tab w:val="left" w:pos="1080"/>
        </w:tabs>
        <w:rPr>
          <w:rFonts w:cs="Arial"/>
          <w:b/>
          <w:bCs/>
          <w:u w:val="single"/>
        </w:rPr>
      </w:pPr>
      <w:r w:rsidRPr="00D470FD">
        <w:rPr>
          <w:rFonts w:cs="Arial"/>
          <w:b/>
          <w:bCs/>
          <w:u w:val="single"/>
        </w:rPr>
        <w:lastRenderedPageBreak/>
        <w:t>I</w:t>
      </w:r>
      <w:r w:rsidR="00ED3B23">
        <w:rPr>
          <w:rFonts w:cs="Arial"/>
          <w:b/>
          <w:bCs/>
          <w:u w:val="single"/>
        </w:rPr>
        <w:t>NTRODUCTION</w:t>
      </w:r>
    </w:p>
    <w:p w14:paraId="0310D53D" w14:textId="37D12694" w:rsidR="00467FDB" w:rsidRPr="00D470FD" w:rsidRDefault="00467FDB" w:rsidP="00C42921">
      <w:pPr>
        <w:tabs>
          <w:tab w:val="left" w:pos="1080"/>
        </w:tabs>
        <w:rPr>
          <w:rFonts w:cs="Arial"/>
        </w:rPr>
      </w:pPr>
    </w:p>
    <w:p w14:paraId="6E352196" w14:textId="49291813" w:rsidR="00F738D8" w:rsidRPr="00D470FD" w:rsidRDefault="00467FDB" w:rsidP="00C42921">
      <w:pPr>
        <w:tabs>
          <w:tab w:val="left" w:pos="1080"/>
        </w:tabs>
        <w:rPr>
          <w:rFonts w:cs="Arial"/>
        </w:rPr>
      </w:pPr>
      <w:r w:rsidRPr="00D470FD">
        <w:rPr>
          <w:rFonts w:cs="Arial"/>
        </w:rPr>
        <w:t>Higher Nationals (HNs) qualifications, offered at the University under licence from Pearson must follow the Pearson H</w:t>
      </w:r>
      <w:r w:rsidR="00F738D8" w:rsidRPr="00D470FD">
        <w:rPr>
          <w:rFonts w:cs="Arial"/>
        </w:rPr>
        <w:t xml:space="preserve">igher National </w:t>
      </w:r>
      <w:r w:rsidR="0052597F" w:rsidRPr="00D470FD">
        <w:rPr>
          <w:rFonts w:cs="Arial"/>
        </w:rPr>
        <w:t>a</w:t>
      </w:r>
      <w:r w:rsidRPr="00D470FD">
        <w:rPr>
          <w:rFonts w:cs="Arial"/>
        </w:rPr>
        <w:t xml:space="preserve">cademic </w:t>
      </w:r>
      <w:r w:rsidR="0052597F" w:rsidRPr="00D470FD">
        <w:rPr>
          <w:rFonts w:cs="Arial"/>
        </w:rPr>
        <w:t>r</w:t>
      </w:r>
      <w:r w:rsidRPr="00D470FD">
        <w:rPr>
          <w:rFonts w:cs="Arial"/>
        </w:rPr>
        <w:t>egulations</w:t>
      </w:r>
      <w:r w:rsidR="00F738D8" w:rsidRPr="00D470FD">
        <w:rPr>
          <w:rFonts w:cs="Arial"/>
        </w:rPr>
        <w:t xml:space="preserve">. </w:t>
      </w:r>
      <w:r w:rsidR="00ED3B23">
        <w:rPr>
          <w:rFonts w:cs="Arial"/>
        </w:rPr>
        <w:t xml:space="preserve"> </w:t>
      </w:r>
      <w:r w:rsidR="00F738D8" w:rsidRPr="00D470FD">
        <w:rPr>
          <w:rFonts w:cs="Arial"/>
        </w:rPr>
        <w:t xml:space="preserve">The </w:t>
      </w:r>
      <w:r w:rsidR="0052597F" w:rsidRPr="00D470FD">
        <w:rPr>
          <w:rFonts w:cs="Arial"/>
        </w:rPr>
        <w:t>a</w:t>
      </w:r>
      <w:r w:rsidR="00F738D8" w:rsidRPr="00D470FD">
        <w:rPr>
          <w:rFonts w:cs="Arial"/>
        </w:rPr>
        <w:t xml:space="preserve">cademic </w:t>
      </w:r>
      <w:r w:rsidR="0052597F" w:rsidRPr="00D470FD">
        <w:rPr>
          <w:rFonts w:cs="Arial"/>
        </w:rPr>
        <w:t>r</w:t>
      </w:r>
      <w:r w:rsidR="00F738D8" w:rsidRPr="00D470FD">
        <w:rPr>
          <w:rFonts w:cs="Arial"/>
        </w:rPr>
        <w:t>egulations incorporate key guiding characteristics in the design of HN’s.</w:t>
      </w:r>
    </w:p>
    <w:p w14:paraId="16D9ABDA" w14:textId="77777777" w:rsidR="00F738D8" w:rsidRPr="00D470FD" w:rsidRDefault="00F738D8" w:rsidP="00C42921">
      <w:pPr>
        <w:tabs>
          <w:tab w:val="left" w:pos="1080"/>
        </w:tabs>
        <w:rPr>
          <w:rFonts w:cs="Arial"/>
        </w:rPr>
      </w:pPr>
    </w:p>
    <w:p w14:paraId="32922B6D" w14:textId="488D789A" w:rsidR="00467FDB" w:rsidRPr="00D470FD" w:rsidRDefault="000F3A3B" w:rsidP="00C42921">
      <w:pPr>
        <w:tabs>
          <w:tab w:val="left" w:pos="1080"/>
        </w:tabs>
        <w:rPr>
          <w:rFonts w:cs="Arial"/>
        </w:rPr>
      </w:pPr>
      <w:r w:rsidRPr="00D470FD">
        <w:rPr>
          <w:rFonts w:cs="Arial"/>
        </w:rPr>
        <w:t xml:space="preserve">When submitting </w:t>
      </w:r>
      <w:r w:rsidR="00951B5E" w:rsidRPr="00D470FD">
        <w:rPr>
          <w:rFonts w:cs="Arial"/>
        </w:rPr>
        <w:t>course</w:t>
      </w:r>
      <w:r w:rsidRPr="00D470FD">
        <w:rPr>
          <w:rFonts w:cs="Arial"/>
        </w:rPr>
        <w:t xml:space="preserve"> approval applications to Pearsons, </w:t>
      </w:r>
      <w:r w:rsidR="00F738D8" w:rsidRPr="00D470FD">
        <w:rPr>
          <w:rFonts w:cs="Arial"/>
        </w:rPr>
        <w:t xml:space="preserve">the University must evidence how the </w:t>
      </w:r>
      <w:r w:rsidRPr="00D470FD">
        <w:rPr>
          <w:rFonts w:cs="Arial"/>
        </w:rPr>
        <w:t>a</w:t>
      </w:r>
      <w:r w:rsidR="00F738D8" w:rsidRPr="00D470FD">
        <w:rPr>
          <w:rFonts w:cs="Arial"/>
        </w:rPr>
        <w:t xml:space="preserve">cademic </w:t>
      </w:r>
      <w:r w:rsidRPr="00D470FD">
        <w:rPr>
          <w:rFonts w:cs="Arial"/>
        </w:rPr>
        <w:t>r</w:t>
      </w:r>
      <w:r w:rsidR="00F738D8" w:rsidRPr="00D470FD">
        <w:rPr>
          <w:rFonts w:cs="Arial"/>
        </w:rPr>
        <w:t>egulations are met</w:t>
      </w:r>
      <w:r w:rsidR="00ED3B23">
        <w:rPr>
          <w:rFonts w:cs="Arial"/>
        </w:rPr>
        <w:t>.</w:t>
      </w:r>
      <w:r w:rsidR="00F738D8" w:rsidRPr="00D470FD">
        <w:rPr>
          <w:rFonts w:cs="Arial"/>
        </w:rPr>
        <w:t xml:space="preserve"> </w:t>
      </w:r>
    </w:p>
    <w:p w14:paraId="5E01A4F3" w14:textId="0021F651" w:rsidR="00F738D8" w:rsidRPr="00D470FD" w:rsidRDefault="00F738D8" w:rsidP="00C42921">
      <w:pPr>
        <w:tabs>
          <w:tab w:val="left" w:pos="1080"/>
        </w:tabs>
        <w:rPr>
          <w:rFonts w:cs="Arial"/>
        </w:rPr>
      </w:pPr>
    </w:p>
    <w:p w14:paraId="5AC9929E" w14:textId="77777777" w:rsidR="0024393B" w:rsidRPr="00D470FD" w:rsidRDefault="0024393B" w:rsidP="0024393B">
      <w:pPr>
        <w:tabs>
          <w:tab w:val="num" w:pos="720"/>
          <w:tab w:val="left" w:pos="1080"/>
        </w:tabs>
        <w:rPr>
          <w:rFonts w:cs="Arial"/>
          <w:u w:val="single"/>
        </w:rPr>
      </w:pPr>
      <w:r w:rsidRPr="00D470FD">
        <w:rPr>
          <w:rFonts w:cs="Arial"/>
          <w:b/>
          <w:u w:val="single"/>
        </w:rPr>
        <w:t>When to use this form</w:t>
      </w:r>
      <w:r w:rsidRPr="00D470FD">
        <w:rPr>
          <w:rFonts w:cs="Arial"/>
          <w:u w:val="single"/>
        </w:rPr>
        <w:t>:</w:t>
      </w:r>
    </w:p>
    <w:p w14:paraId="54A9AC5C" w14:textId="020A9849" w:rsidR="00F738D8" w:rsidRPr="00D470FD" w:rsidRDefault="00F738D8" w:rsidP="00C42921">
      <w:pPr>
        <w:tabs>
          <w:tab w:val="left" w:pos="1080"/>
        </w:tabs>
        <w:rPr>
          <w:rFonts w:cs="Arial"/>
        </w:rPr>
      </w:pPr>
    </w:p>
    <w:p w14:paraId="6427D1DE" w14:textId="7DAA5D47" w:rsidR="000F3A3B" w:rsidRPr="00D470FD" w:rsidRDefault="0024393B" w:rsidP="00C42921">
      <w:pPr>
        <w:tabs>
          <w:tab w:val="left" w:pos="1080"/>
        </w:tabs>
        <w:rPr>
          <w:rFonts w:cs="Arial"/>
        </w:rPr>
      </w:pPr>
      <w:r w:rsidRPr="00D470FD">
        <w:rPr>
          <w:rFonts w:cs="Arial"/>
        </w:rPr>
        <w:t xml:space="preserve">This </w:t>
      </w:r>
      <w:r w:rsidR="006E4BDB" w:rsidRPr="00D470FD">
        <w:rPr>
          <w:rFonts w:cs="Arial"/>
        </w:rPr>
        <w:t>form</w:t>
      </w:r>
      <w:r w:rsidRPr="00D470FD">
        <w:rPr>
          <w:rFonts w:cs="Arial"/>
        </w:rPr>
        <w:t xml:space="preserve"> should be completed for the </w:t>
      </w:r>
      <w:r w:rsidR="00ED3B23">
        <w:rPr>
          <w:rFonts w:cs="Arial"/>
        </w:rPr>
        <w:t>A</w:t>
      </w:r>
      <w:r w:rsidRPr="00D470FD">
        <w:rPr>
          <w:rFonts w:cs="Arial"/>
        </w:rPr>
        <w:t xml:space="preserve">pproval </w:t>
      </w:r>
      <w:r w:rsidR="00B20043" w:rsidRPr="00D470FD">
        <w:rPr>
          <w:rFonts w:cs="Arial"/>
        </w:rPr>
        <w:t xml:space="preserve">and </w:t>
      </w:r>
      <w:r w:rsidR="00ED3B23">
        <w:rPr>
          <w:rFonts w:cs="Arial"/>
        </w:rPr>
        <w:t>P</w:t>
      </w:r>
      <w:r w:rsidR="00B20043" w:rsidRPr="00D470FD">
        <w:rPr>
          <w:rFonts w:cs="Arial"/>
        </w:rPr>
        <w:t xml:space="preserve">eriodic </w:t>
      </w:r>
      <w:r w:rsidR="00ED3B23">
        <w:rPr>
          <w:rFonts w:cs="Arial"/>
        </w:rPr>
        <w:t>R</w:t>
      </w:r>
      <w:r w:rsidR="000F3A3B" w:rsidRPr="00D470FD">
        <w:rPr>
          <w:rFonts w:cs="Arial"/>
        </w:rPr>
        <w:t xml:space="preserve">eview </w:t>
      </w:r>
      <w:r w:rsidRPr="00D470FD">
        <w:rPr>
          <w:rFonts w:cs="Arial"/>
        </w:rPr>
        <w:t>of new</w:t>
      </w:r>
      <w:r w:rsidR="00B20043" w:rsidRPr="00D470FD">
        <w:rPr>
          <w:rFonts w:cs="Arial"/>
        </w:rPr>
        <w:t xml:space="preserve"> or existing</w:t>
      </w:r>
      <w:r w:rsidRPr="00D470FD">
        <w:rPr>
          <w:rFonts w:cs="Arial"/>
        </w:rPr>
        <w:t xml:space="preserve"> HNs. </w:t>
      </w:r>
      <w:r w:rsidR="0047497B" w:rsidRPr="00D470FD">
        <w:rPr>
          <w:rFonts w:cs="Arial"/>
        </w:rPr>
        <w:t xml:space="preserve"> </w:t>
      </w:r>
    </w:p>
    <w:p w14:paraId="4D852DD2" w14:textId="77777777" w:rsidR="000F3A3B" w:rsidRPr="00D470FD" w:rsidRDefault="000F3A3B" w:rsidP="00C42921">
      <w:pPr>
        <w:tabs>
          <w:tab w:val="left" w:pos="1080"/>
        </w:tabs>
        <w:rPr>
          <w:rFonts w:cs="Arial"/>
        </w:rPr>
      </w:pPr>
    </w:p>
    <w:p w14:paraId="6B80D6AC" w14:textId="10E0908F" w:rsidR="0024393B" w:rsidRDefault="0047497B" w:rsidP="00C42921">
      <w:pPr>
        <w:tabs>
          <w:tab w:val="left" w:pos="1080"/>
        </w:tabs>
        <w:rPr>
          <w:rFonts w:cs="Arial"/>
        </w:rPr>
      </w:pPr>
      <w:r w:rsidRPr="00D470FD">
        <w:rPr>
          <w:rFonts w:cs="Arial"/>
        </w:rPr>
        <w:t xml:space="preserve">The form </w:t>
      </w:r>
      <w:r w:rsidR="000F3A3B" w:rsidRPr="00D470FD">
        <w:rPr>
          <w:rFonts w:cs="Arial"/>
        </w:rPr>
        <w:t>signifies</w:t>
      </w:r>
      <w:r w:rsidRPr="00D470FD">
        <w:rPr>
          <w:rFonts w:cs="Arial"/>
        </w:rPr>
        <w:t xml:space="preserve"> the appropriate </w:t>
      </w:r>
      <w:r w:rsidR="0052597F" w:rsidRPr="00D470FD">
        <w:rPr>
          <w:rFonts w:cs="Arial"/>
        </w:rPr>
        <w:t xml:space="preserve">Teesside University </w:t>
      </w:r>
      <w:r w:rsidRPr="00D470FD">
        <w:rPr>
          <w:rFonts w:cs="Arial"/>
        </w:rPr>
        <w:t xml:space="preserve">document </w:t>
      </w:r>
      <w:r w:rsidR="000F3A3B" w:rsidRPr="00D470FD">
        <w:rPr>
          <w:rFonts w:cs="Arial"/>
        </w:rPr>
        <w:t xml:space="preserve">which evidences where </w:t>
      </w:r>
      <w:r w:rsidRPr="00D470FD">
        <w:rPr>
          <w:rFonts w:cs="Arial"/>
        </w:rPr>
        <w:t xml:space="preserve">the </w:t>
      </w:r>
      <w:r w:rsidR="00C46E56" w:rsidRPr="00D470FD">
        <w:rPr>
          <w:rFonts w:cs="Arial"/>
        </w:rPr>
        <w:t xml:space="preserve">HN </w:t>
      </w:r>
      <w:r w:rsidR="00B20043" w:rsidRPr="00D470FD">
        <w:rPr>
          <w:rFonts w:cs="Arial"/>
        </w:rPr>
        <w:t>a</w:t>
      </w:r>
      <w:r w:rsidRPr="00D470FD">
        <w:rPr>
          <w:rFonts w:cs="Arial"/>
        </w:rPr>
        <w:t xml:space="preserve">cademic </w:t>
      </w:r>
      <w:r w:rsidR="00B20043" w:rsidRPr="00D470FD">
        <w:rPr>
          <w:rFonts w:cs="Arial"/>
        </w:rPr>
        <w:t>r</w:t>
      </w:r>
      <w:r w:rsidRPr="00D470FD">
        <w:rPr>
          <w:rFonts w:cs="Arial"/>
        </w:rPr>
        <w:t xml:space="preserve">egulation </w:t>
      </w:r>
      <w:r w:rsidR="000F3A3B" w:rsidRPr="00D470FD">
        <w:rPr>
          <w:rFonts w:cs="Arial"/>
        </w:rPr>
        <w:t>has been met</w:t>
      </w:r>
      <w:r w:rsidRPr="00D470FD">
        <w:rPr>
          <w:rFonts w:cs="Arial"/>
        </w:rPr>
        <w:t xml:space="preserve">.  </w:t>
      </w:r>
    </w:p>
    <w:p w14:paraId="12167D44" w14:textId="03D05FD7" w:rsidR="00ED3B23" w:rsidRDefault="00ED3B23" w:rsidP="00C42921">
      <w:pPr>
        <w:tabs>
          <w:tab w:val="left" w:pos="1080"/>
        </w:tabs>
        <w:rPr>
          <w:rFonts w:cs="Arial"/>
        </w:rPr>
      </w:pPr>
    </w:p>
    <w:p w14:paraId="6BF96F2E" w14:textId="5B2B1AC4" w:rsidR="00ED3B23" w:rsidRDefault="00ED3B23" w:rsidP="00C42921">
      <w:pPr>
        <w:tabs>
          <w:tab w:val="left" w:pos="1080"/>
        </w:tabs>
        <w:rPr>
          <w:rFonts w:cs="Arial"/>
        </w:rPr>
      </w:pPr>
    </w:p>
    <w:p w14:paraId="0BA80DE1" w14:textId="77777777" w:rsidR="00ED3B23" w:rsidRDefault="00ED3B23" w:rsidP="00C42921">
      <w:pPr>
        <w:tabs>
          <w:tab w:val="left" w:pos="1080"/>
        </w:tabs>
        <w:rPr>
          <w:rFonts w:cs="Arial"/>
        </w:rPr>
        <w:sectPr w:rsidR="00ED3B23" w:rsidSect="00995991">
          <w:footerReference w:type="default" r:id="rId8"/>
          <w:type w:val="continuous"/>
          <w:pgSz w:w="11906" w:h="16838" w:code="9"/>
          <w:pgMar w:top="1440" w:right="1440" w:bottom="1440" w:left="1440" w:header="709" w:footer="709" w:gutter="0"/>
          <w:pgNumType w:start="1"/>
          <w:cols w:space="708"/>
          <w:docGrid w:linePitch="360"/>
        </w:sectPr>
      </w:pPr>
    </w:p>
    <w:tbl>
      <w:tblPr>
        <w:tblStyle w:val="TableGrid"/>
        <w:tblW w:w="10206" w:type="dxa"/>
        <w:tblInd w:w="-572" w:type="dxa"/>
        <w:tblLook w:val="04A0" w:firstRow="1" w:lastRow="0" w:firstColumn="1" w:lastColumn="0" w:noHBand="0" w:noVBand="1"/>
      </w:tblPr>
      <w:tblGrid>
        <w:gridCol w:w="3447"/>
        <w:gridCol w:w="6759"/>
      </w:tblGrid>
      <w:tr w:rsidR="009D79BB" w:rsidRPr="00D470FD" w14:paraId="533F5E92" w14:textId="77777777" w:rsidTr="00AC6F85">
        <w:trPr>
          <w:trHeight w:val="440"/>
        </w:trPr>
        <w:tc>
          <w:tcPr>
            <w:tcW w:w="3447" w:type="dxa"/>
            <w:shd w:val="clear" w:color="auto" w:fill="D9D9D9" w:themeFill="background1" w:themeFillShade="D9"/>
            <w:vAlign w:val="center"/>
          </w:tcPr>
          <w:p w14:paraId="3842B14A" w14:textId="7BAE2B0B" w:rsidR="009D79BB" w:rsidRPr="00D470FD" w:rsidRDefault="009D79BB" w:rsidP="00AC6F85">
            <w:pPr>
              <w:rPr>
                <w:rFonts w:cs="Arial"/>
                <w:b/>
                <w:bCs/>
              </w:rPr>
            </w:pPr>
            <w:r w:rsidRPr="00D470FD">
              <w:rPr>
                <w:rFonts w:cs="Arial"/>
                <w:b/>
                <w:bCs/>
              </w:rPr>
              <w:lastRenderedPageBreak/>
              <w:t>Course Title:</w:t>
            </w:r>
          </w:p>
        </w:tc>
        <w:tc>
          <w:tcPr>
            <w:tcW w:w="6759" w:type="dxa"/>
            <w:shd w:val="clear" w:color="auto" w:fill="auto"/>
            <w:vAlign w:val="center"/>
          </w:tcPr>
          <w:p w14:paraId="4D33B1F8" w14:textId="7ED0D0BB" w:rsidR="009D79BB" w:rsidRPr="00AC6F85" w:rsidRDefault="009D79BB" w:rsidP="00AC6F85">
            <w:pPr>
              <w:rPr>
                <w:rFonts w:cs="Arial"/>
              </w:rPr>
            </w:pPr>
          </w:p>
        </w:tc>
      </w:tr>
      <w:tr w:rsidR="00D470FD" w:rsidRPr="00D470FD" w14:paraId="42BDF10D" w14:textId="77777777" w:rsidTr="00AC6F85">
        <w:tc>
          <w:tcPr>
            <w:tcW w:w="3447" w:type="dxa"/>
            <w:shd w:val="clear" w:color="auto" w:fill="D9D9D9" w:themeFill="background1" w:themeFillShade="D9"/>
          </w:tcPr>
          <w:p w14:paraId="70BC5CD1" w14:textId="11D9E67F" w:rsidR="00D470FD" w:rsidRPr="00D470FD" w:rsidRDefault="00D470FD">
            <w:pPr>
              <w:rPr>
                <w:rFonts w:cs="Arial"/>
                <w:b/>
                <w:bCs/>
              </w:rPr>
            </w:pPr>
            <w:r w:rsidRPr="00D470FD">
              <w:rPr>
                <w:rFonts w:cs="Arial"/>
                <w:b/>
                <w:bCs/>
              </w:rPr>
              <w:t>Predicted learner numbers for the first year</w:t>
            </w:r>
          </w:p>
        </w:tc>
        <w:tc>
          <w:tcPr>
            <w:tcW w:w="6759" w:type="dxa"/>
            <w:shd w:val="clear" w:color="auto" w:fill="auto"/>
            <w:vAlign w:val="center"/>
          </w:tcPr>
          <w:p w14:paraId="0541A75B" w14:textId="77777777" w:rsidR="00D470FD" w:rsidRPr="00AC6F85" w:rsidRDefault="00D470FD" w:rsidP="00AC6F85">
            <w:pPr>
              <w:rPr>
                <w:rFonts w:cs="Arial"/>
              </w:rPr>
            </w:pPr>
          </w:p>
        </w:tc>
      </w:tr>
    </w:tbl>
    <w:p w14:paraId="4D8D66AD" w14:textId="69F84228" w:rsidR="00642F71" w:rsidRPr="00D470FD" w:rsidRDefault="00642F71">
      <w:pPr>
        <w:rPr>
          <w:rFonts w:cs="Arial"/>
        </w:rPr>
      </w:pPr>
    </w:p>
    <w:tbl>
      <w:tblPr>
        <w:tblStyle w:val="TableGrid"/>
        <w:tblW w:w="10206" w:type="dxa"/>
        <w:tblInd w:w="-577" w:type="dxa"/>
        <w:tblLayout w:type="fixed"/>
        <w:tblLook w:val="04A0" w:firstRow="1" w:lastRow="0" w:firstColumn="1" w:lastColumn="0" w:noHBand="0" w:noVBand="1"/>
      </w:tblPr>
      <w:tblGrid>
        <w:gridCol w:w="4962"/>
        <w:gridCol w:w="5244"/>
      </w:tblGrid>
      <w:tr w:rsidR="00D470FD" w:rsidRPr="00D470FD" w14:paraId="2A751845" w14:textId="77777777" w:rsidTr="00795774">
        <w:trPr>
          <w:trHeight w:val="565"/>
        </w:trPr>
        <w:tc>
          <w:tcPr>
            <w:tcW w:w="10206"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9ADC541" w14:textId="5BC111A0" w:rsidR="00D470FD" w:rsidRPr="00D470FD" w:rsidRDefault="00D470FD" w:rsidP="00AC6F85">
            <w:pPr>
              <w:jc w:val="center"/>
              <w:rPr>
                <w:rFonts w:eastAsia="Open Sans Light" w:cs="Arial"/>
              </w:rPr>
            </w:pPr>
            <w:r w:rsidRPr="00D470FD">
              <w:rPr>
                <w:rFonts w:eastAsia="Open Sans Light" w:cs="Arial"/>
                <w:b/>
                <w:bCs/>
              </w:rPr>
              <w:t>Academic Regulations Higher National Qualifications Under Licence</w:t>
            </w:r>
          </w:p>
        </w:tc>
      </w:tr>
      <w:tr w:rsidR="00D470FD" w:rsidRPr="00D470FD" w14:paraId="3149FA12" w14:textId="77777777" w:rsidTr="00795774">
        <w:trPr>
          <w:trHeight w:val="430"/>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1D19B92" w14:textId="26FD01CB" w:rsidR="00D470FD" w:rsidRPr="00D470FD" w:rsidRDefault="00D470FD" w:rsidP="00AC6F85">
            <w:pPr>
              <w:rPr>
                <w:rFonts w:eastAsia="Open Sans Light" w:cs="Arial"/>
              </w:rPr>
            </w:pPr>
            <w:r w:rsidRPr="00D470FD">
              <w:rPr>
                <w:rFonts w:eastAsia="Open Sans Light" w:cs="Arial"/>
                <w:b/>
                <w:bCs/>
              </w:rPr>
              <w:t>1. Level and Credit Requirements for the Awards</w:t>
            </w:r>
            <w:r w:rsidRPr="00D470FD">
              <w:rPr>
                <w:rFonts w:eastAsia="Open Sans Light" w:cs="Arial"/>
              </w:rPr>
              <w:t xml:space="preserve"> </w:t>
            </w:r>
          </w:p>
        </w:tc>
      </w:tr>
      <w:tr w:rsidR="00D470FD" w:rsidRPr="00D470FD" w14:paraId="1CE41A5D"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E0B49B2" w14:textId="77777777" w:rsidR="00D470FD" w:rsidRPr="00D470FD" w:rsidRDefault="00D470FD" w:rsidP="004C5BBD">
            <w:pPr>
              <w:rPr>
                <w:rFonts w:eastAsia="Open Sans Light" w:cs="Arial"/>
              </w:rPr>
            </w:pP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1217249B" w14:textId="0572241A" w:rsidR="00D33C2A" w:rsidRPr="000B2080" w:rsidRDefault="00D470FD" w:rsidP="00D33C2A">
            <w:pPr>
              <w:rPr>
                <w:rFonts w:eastAsia="Open Sans Light" w:cs="Arial"/>
                <w:color w:val="FFFFFF" w:themeColor="background1"/>
              </w:rPr>
            </w:pPr>
            <w:r w:rsidRPr="00D33C2A">
              <w:rPr>
                <w:rFonts w:eastAsia="Open Sans Light" w:cs="Arial"/>
                <w:b/>
                <w:bCs/>
              </w:rPr>
              <w:t>Reference the TU document where these criteria can be evidenced</w:t>
            </w:r>
            <w:r w:rsidR="00D33C2A">
              <w:rPr>
                <w:rFonts w:eastAsia="Open Sans Light" w:cs="Arial"/>
                <w:color w:val="FFFFFF" w:themeColor="background1"/>
              </w:rPr>
              <w:t>.</w:t>
            </w:r>
          </w:p>
        </w:tc>
      </w:tr>
      <w:tr w:rsidR="00D470FD" w:rsidRPr="00D470FD" w14:paraId="66E873B2"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5D42345" w14:textId="77777777" w:rsidR="00D470FD" w:rsidRPr="00D470FD" w:rsidRDefault="00D470FD" w:rsidP="004C5BBD">
            <w:pPr>
              <w:rPr>
                <w:rFonts w:eastAsia="Open Sans Light" w:cs="Arial"/>
              </w:rPr>
            </w:pPr>
            <w:r w:rsidRPr="00D470FD">
              <w:rPr>
                <w:rFonts w:eastAsia="Open Sans Light" w:cs="Arial"/>
              </w:rPr>
              <w:t>1.1 Higher National (HN) qualifications will be available at level 4 and level 5 are mapped to the QAA Framework for Higher Education Qualifications (FHEQ) in England, Wales, and Northern Ireland.</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665A04D3" w14:textId="635BA6C4" w:rsidR="00D470FD" w:rsidRPr="00795774" w:rsidRDefault="00D470FD" w:rsidP="004C5BBD">
            <w:pPr>
              <w:rPr>
                <w:rFonts w:eastAsia="Open Sans Light" w:cs="Arial"/>
              </w:rPr>
            </w:pPr>
            <w:r w:rsidRPr="00D470FD">
              <w:rPr>
                <w:rFonts w:eastAsia="Open Sans Light" w:cs="Arial"/>
              </w:rPr>
              <w:t>Validation report</w:t>
            </w:r>
            <w:r w:rsidR="00995991">
              <w:rPr>
                <w:rFonts w:eastAsia="Open Sans Light" w:cs="Arial"/>
              </w:rPr>
              <w:t xml:space="preserve"> </w:t>
            </w:r>
          </w:p>
          <w:p w14:paraId="26780F1C" w14:textId="44F9BBAF" w:rsidR="00D470FD" w:rsidRPr="00D470FD" w:rsidRDefault="00D470FD" w:rsidP="004C5BBD">
            <w:pPr>
              <w:rPr>
                <w:rFonts w:eastAsia="Open Sans Light" w:cs="Arial"/>
              </w:rPr>
            </w:pPr>
            <w:r w:rsidRPr="00D470FD">
              <w:rPr>
                <w:rFonts w:eastAsia="Open Sans Light" w:cs="Arial"/>
              </w:rPr>
              <w:t xml:space="preserve">Course specification </w:t>
            </w:r>
          </w:p>
        </w:tc>
      </w:tr>
      <w:tr w:rsidR="00D470FD" w:rsidRPr="00D470FD" w14:paraId="5D67C030"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EAB5B49" w14:textId="7C86F0BF" w:rsidR="00D470FD" w:rsidRPr="00D470FD" w:rsidRDefault="00D470FD" w:rsidP="00AC6F85">
            <w:pPr>
              <w:ind w:left="285"/>
              <w:rPr>
                <w:rFonts w:eastAsia="Open Sans Light" w:cs="Arial"/>
              </w:rPr>
            </w:pPr>
            <w:r w:rsidRPr="00D470FD">
              <w:rPr>
                <w:rFonts w:eastAsia="Open Sans Light" w:cs="Arial"/>
              </w:rPr>
              <w:t>1.1.1 Level 4 will be called a Higher National Certificate</w:t>
            </w:r>
            <w:r w:rsidR="00995991">
              <w:rPr>
                <w:rFonts w:eastAsia="Open Sans Light" w:cs="Arial"/>
              </w:rPr>
              <w:t>.</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0EDA07BE" w14:textId="3BA2099B" w:rsidR="00D470FD" w:rsidRPr="00D470FD" w:rsidRDefault="00D470FD" w:rsidP="004C5BBD">
            <w:pPr>
              <w:rPr>
                <w:rFonts w:eastAsia="Open Sans Light" w:cs="Arial"/>
              </w:rPr>
            </w:pPr>
            <w:r w:rsidRPr="00D470FD">
              <w:rPr>
                <w:rFonts w:eastAsia="Open Sans Light" w:cs="Arial"/>
              </w:rPr>
              <w:t>Course specification</w:t>
            </w:r>
            <w:r w:rsidR="00995991">
              <w:rPr>
                <w:rFonts w:eastAsia="Open Sans Light" w:cs="Arial"/>
              </w:rPr>
              <w:t xml:space="preserve"> </w:t>
            </w:r>
          </w:p>
        </w:tc>
      </w:tr>
      <w:tr w:rsidR="00D470FD" w:rsidRPr="00D470FD" w14:paraId="6DA428B2"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044EC2B" w14:textId="5FCEC8EB" w:rsidR="00D470FD" w:rsidRPr="00D470FD" w:rsidRDefault="00D470FD" w:rsidP="00AC6F85">
            <w:pPr>
              <w:ind w:left="285"/>
              <w:rPr>
                <w:rFonts w:eastAsia="Open Sans Light" w:cs="Arial"/>
              </w:rPr>
            </w:pPr>
            <w:r w:rsidRPr="00D470FD">
              <w:rPr>
                <w:rFonts w:eastAsia="Open Sans Light" w:cs="Arial"/>
              </w:rPr>
              <w:t>1.1.2 Level 4 and 5 will be called a Higher National Diploma</w:t>
            </w:r>
            <w:r w:rsidR="00995991">
              <w:rPr>
                <w:rFonts w:eastAsia="Open Sans Light" w:cs="Arial"/>
              </w:rPr>
              <w:t>.</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1F251BB1" w14:textId="525761C3" w:rsidR="00D470FD" w:rsidRPr="00D470FD" w:rsidRDefault="00D470FD" w:rsidP="004C5BBD">
            <w:pPr>
              <w:rPr>
                <w:rFonts w:eastAsia="Open Sans Light" w:cs="Arial"/>
              </w:rPr>
            </w:pPr>
            <w:r w:rsidRPr="00D470FD">
              <w:rPr>
                <w:rFonts w:eastAsia="Open Sans Light" w:cs="Arial"/>
              </w:rPr>
              <w:t>Course specification</w:t>
            </w:r>
            <w:r w:rsidR="00995991">
              <w:rPr>
                <w:rFonts w:eastAsia="Open Sans Light" w:cs="Arial"/>
              </w:rPr>
              <w:t xml:space="preserve"> </w:t>
            </w:r>
          </w:p>
        </w:tc>
      </w:tr>
      <w:tr w:rsidR="00795774" w:rsidRPr="00D470FD" w14:paraId="2E3F55DE" w14:textId="77777777" w:rsidTr="00795774">
        <w:trPr>
          <w:trHeight w:val="142"/>
        </w:trPr>
        <w:tc>
          <w:tcPr>
            <w:tcW w:w="10206"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76BF918A" w14:textId="0F036D97" w:rsidR="00795774" w:rsidRPr="00795774" w:rsidRDefault="00795774" w:rsidP="004C5BBD">
            <w:pPr>
              <w:rPr>
                <w:rFonts w:eastAsia="Open Sans Light" w:cs="Arial"/>
                <w:sz w:val="12"/>
                <w:szCs w:val="12"/>
              </w:rPr>
            </w:pPr>
          </w:p>
        </w:tc>
      </w:tr>
      <w:tr w:rsidR="00D470FD" w:rsidRPr="00D470FD" w14:paraId="78712942"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ECDED81" w14:textId="77777777" w:rsidR="00D470FD" w:rsidRPr="00D470FD" w:rsidRDefault="00D470FD" w:rsidP="004C5BBD">
            <w:pPr>
              <w:rPr>
                <w:rFonts w:eastAsia="Open Sans Light" w:cs="Arial"/>
              </w:rPr>
            </w:pPr>
            <w:r w:rsidRPr="00D470FD">
              <w:rPr>
                <w:rFonts w:eastAsia="Open Sans Light" w:cs="Arial"/>
              </w:rPr>
              <w:t>1.2 Higher National Diplomas (“HNDs”) HNDs will comprise two stages of 120 credits each:</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4D1D4F1F" w14:textId="119002FD" w:rsidR="00D470FD" w:rsidRPr="00D470FD" w:rsidRDefault="00D470FD" w:rsidP="004C5BBD">
            <w:pPr>
              <w:rPr>
                <w:rFonts w:eastAsia="Open Sans Light" w:cs="Arial"/>
              </w:rPr>
            </w:pPr>
          </w:p>
        </w:tc>
      </w:tr>
      <w:tr w:rsidR="00D470FD" w:rsidRPr="00D470FD" w14:paraId="1DC88E2F"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848B061" w14:textId="77777777" w:rsidR="00D470FD" w:rsidRPr="00D470FD" w:rsidRDefault="00D470FD" w:rsidP="004A40F8">
            <w:pPr>
              <w:ind w:left="285"/>
              <w:rPr>
                <w:rFonts w:eastAsia="Open Sans Light" w:cs="Arial"/>
              </w:rPr>
            </w:pPr>
            <w:r w:rsidRPr="00D470FD">
              <w:rPr>
                <w:rFonts w:eastAsia="Open Sans Light" w:cs="Arial"/>
              </w:rPr>
              <w:t>1.2.1 Stage 1 will comprise units at level 4.</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07A34632" w14:textId="44362B23" w:rsidR="00D470FD" w:rsidRPr="00D470FD" w:rsidRDefault="00D470FD" w:rsidP="004C5BBD">
            <w:pPr>
              <w:rPr>
                <w:rFonts w:eastAsia="Open Sans Light" w:cs="Arial"/>
              </w:rPr>
            </w:pPr>
            <w:r w:rsidRPr="00D470FD">
              <w:rPr>
                <w:rFonts w:eastAsia="Open Sans Light" w:cs="Arial"/>
              </w:rPr>
              <w:t>Course specification</w:t>
            </w:r>
            <w:r w:rsidR="00995991">
              <w:rPr>
                <w:rFonts w:eastAsia="Open Sans Light" w:cs="Arial"/>
              </w:rPr>
              <w:t xml:space="preserve">  </w:t>
            </w:r>
          </w:p>
        </w:tc>
      </w:tr>
      <w:tr w:rsidR="00D470FD" w:rsidRPr="00D470FD" w14:paraId="6B877A8E"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2036662" w14:textId="77777777" w:rsidR="00D470FD" w:rsidRPr="00D470FD" w:rsidRDefault="00D470FD" w:rsidP="004A40F8">
            <w:pPr>
              <w:ind w:left="285"/>
              <w:rPr>
                <w:rFonts w:eastAsia="Open Sans Light" w:cs="Arial"/>
              </w:rPr>
            </w:pPr>
            <w:r w:rsidRPr="00D470FD">
              <w:rPr>
                <w:rFonts w:eastAsia="Open Sans Light" w:cs="Arial"/>
              </w:rPr>
              <w:t>1.2.2 Stage 2 will comprise units at level 5.</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477B981D" w14:textId="11DFAE77" w:rsidR="00D470FD" w:rsidRPr="00D470FD" w:rsidRDefault="00D470FD" w:rsidP="004C5BBD">
            <w:pPr>
              <w:rPr>
                <w:rFonts w:eastAsia="Open Sans Light" w:cs="Arial"/>
              </w:rPr>
            </w:pPr>
            <w:r w:rsidRPr="00D470FD">
              <w:rPr>
                <w:rFonts w:eastAsia="Open Sans Light" w:cs="Arial"/>
              </w:rPr>
              <w:t xml:space="preserve">Course </w:t>
            </w:r>
            <w:r w:rsidR="00995991">
              <w:rPr>
                <w:rFonts w:eastAsia="Open Sans Light" w:cs="Arial"/>
              </w:rPr>
              <w:t xml:space="preserve">specification </w:t>
            </w:r>
          </w:p>
        </w:tc>
      </w:tr>
      <w:tr w:rsidR="00D470FD" w:rsidRPr="00D470FD" w14:paraId="3076BB04"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7759A9D" w14:textId="77777777" w:rsidR="00D470FD" w:rsidRPr="00D470FD" w:rsidRDefault="00D470FD" w:rsidP="004C5BBD">
            <w:pPr>
              <w:rPr>
                <w:rFonts w:eastAsia="Open Sans Light" w:cs="Arial"/>
              </w:rPr>
            </w:pPr>
            <w:r w:rsidRPr="00D470FD">
              <w:rPr>
                <w:rFonts w:eastAsia="Open Sans Light" w:cs="Arial"/>
              </w:rPr>
              <w:t>1.3 Higher National Certificate (“HNCs”) HNCs will comprise one stage of 120 credits at level 4.</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05B94AC9" w14:textId="4D34B976" w:rsidR="00D470FD" w:rsidRPr="00D470FD" w:rsidRDefault="00D470FD" w:rsidP="004C5BBD">
            <w:pPr>
              <w:rPr>
                <w:rFonts w:eastAsia="Open Sans Light" w:cs="Arial"/>
              </w:rPr>
            </w:pPr>
            <w:r w:rsidRPr="00D470FD">
              <w:rPr>
                <w:rFonts w:eastAsia="Open Sans Light" w:cs="Arial"/>
              </w:rPr>
              <w:t>Course specification</w:t>
            </w:r>
            <w:r w:rsidR="00995991">
              <w:rPr>
                <w:rFonts w:eastAsia="Open Sans Light" w:cs="Arial"/>
              </w:rPr>
              <w:t xml:space="preserve"> </w:t>
            </w:r>
          </w:p>
        </w:tc>
      </w:tr>
      <w:tr w:rsidR="00795774" w:rsidRPr="00D470FD" w14:paraId="5D1E3BB8" w14:textId="77777777" w:rsidTr="00795774">
        <w:trPr>
          <w:trHeight w:val="115"/>
        </w:trPr>
        <w:tc>
          <w:tcPr>
            <w:tcW w:w="10206"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tcPr>
          <w:p w14:paraId="25F90414" w14:textId="713B793D" w:rsidR="00795774" w:rsidRPr="00795774" w:rsidRDefault="00795774" w:rsidP="004C5BBD">
            <w:pPr>
              <w:rPr>
                <w:rFonts w:eastAsia="Open Sans Light" w:cs="Arial"/>
                <w:sz w:val="12"/>
                <w:szCs w:val="12"/>
              </w:rPr>
            </w:pPr>
            <w:r w:rsidRPr="00D470FD">
              <w:rPr>
                <w:rFonts w:eastAsia="Open Sans Light" w:cs="Arial"/>
              </w:rPr>
              <w:t xml:space="preserve"> </w:t>
            </w:r>
          </w:p>
        </w:tc>
      </w:tr>
      <w:tr w:rsidR="00D470FD" w:rsidRPr="00D470FD" w14:paraId="281A262A" w14:textId="77777777" w:rsidTr="00795774">
        <w:trPr>
          <w:trHeight w:val="493"/>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6FE10F70" w14:textId="2BF3580D" w:rsidR="00D470FD" w:rsidRPr="00D470FD" w:rsidRDefault="00D470FD" w:rsidP="00D33C2A">
            <w:pPr>
              <w:rPr>
                <w:rFonts w:eastAsia="Open Sans Light" w:cs="Arial"/>
              </w:rPr>
            </w:pPr>
            <w:r w:rsidRPr="00D470FD">
              <w:rPr>
                <w:rFonts w:eastAsia="Open Sans Light" w:cs="Arial"/>
                <w:b/>
                <w:bCs/>
              </w:rPr>
              <w:t>2. Key Guiding Characteristics</w:t>
            </w:r>
            <w:r w:rsidRPr="00D470FD">
              <w:rPr>
                <w:rFonts w:eastAsia="Open Sans Light" w:cs="Arial"/>
              </w:rPr>
              <w:t xml:space="preserve"> </w:t>
            </w:r>
          </w:p>
        </w:tc>
      </w:tr>
      <w:tr w:rsidR="00D470FD" w:rsidRPr="00D470FD" w14:paraId="0F64B7A1"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C3A1624" w14:textId="36680EB1" w:rsidR="00D470FD" w:rsidRPr="00D470FD" w:rsidRDefault="00D470FD" w:rsidP="00995991">
            <w:pPr>
              <w:ind w:left="36"/>
              <w:rPr>
                <w:rFonts w:eastAsia="Open Sans Light" w:cs="Arial"/>
              </w:rPr>
            </w:pPr>
            <w:r w:rsidRPr="00D470FD">
              <w:rPr>
                <w:rFonts w:eastAsia="Open Sans Light" w:cs="Arial"/>
              </w:rPr>
              <w:t>2.1 Higher National qualifications will have Total Qualification Time (TQT) and Guided Learning (GL) totals as follows:</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3B704708" w14:textId="7ABBCBFA" w:rsidR="00D470FD" w:rsidRPr="00D470FD" w:rsidRDefault="00D470FD" w:rsidP="004C5BBD">
            <w:pPr>
              <w:rPr>
                <w:rFonts w:eastAsia="Open Sans Light" w:cs="Arial"/>
              </w:rPr>
            </w:pPr>
            <w:r w:rsidRPr="00D470FD">
              <w:rPr>
                <w:rFonts w:eastAsia="Open Sans Light" w:cs="Arial"/>
              </w:rPr>
              <w:t>Course specification</w:t>
            </w:r>
            <w:r w:rsidR="00995991">
              <w:rPr>
                <w:rFonts w:eastAsia="Open Sans Light" w:cs="Arial"/>
              </w:rPr>
              <w:t xml:space="preserve"> </w:t>
            </w:r>
          </w:p>
          <w:p w14:paraId="5D61E395" w14:textId="118D31C1" w:rsidR="00D470FD" w:rsidRPr="00D470FD" w:rsidRDefault="00D470FD" w:rsidP="004C5BBD">
            <w:pPr>
              <w:rPr>
                <w:rFonts w:eastAsia="Open Sans Light" w:cs="Arial"/>
              </w:rPr>
            </w:pPr>
            <w:r w:rsidRPr="00D470FD">
              <w:rPr>
                <w:rFonts w:eastAsia="Open Sans Light" w:cs="Arial"/>
              </w:rPr>
              <w:t>Module specifications</w:t>
            </w:r>
            <w:r w:rsidR="00995991">
              <w:rPr>
                <w:rFonts w:eastAsia="Open Sans Light" w:cs="Arial"/>
              </w:rPr>
              <w:t xml:space="preserve"> </w:t>
            </w:r>
          </w:p>
        </w:tc>
      </w:tr>
      <w:tr w:rsidR="00995991" w:rsidRPr="00D470FD" w14:paraId="419B73DD"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BDF3349" w14:textId="4095303B" w:rsidR="00995991" w:rsidRPr="00D470FD" w:rsidRDefault="00995991" w:rsidP="00995991">
            <w:pPr>
              <w:ind w:left="285"/>
              <w:rPr>
                <w:rFonts w:eastAsia="Open Sans Light" w:cs="Arial"/>
              </w:rPr>
            </w:pPr>
            <w:r w:rsidRPr="00D470FD">
              <w:rPr>
                <w:rFonts w:eastAsia="Open Sans Light" w:cs="Arial"/>
              </w:rPr>
              <w:t>2.1.1 an HND will be worth 2400 hours of TQT and 960 hours of GL.</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2CBF4A8B" w14:textId="77777777" w:rsidR="00995991" w:rsidRPr="00D470FD" w:rsidRDefault="00995991" w:rsidP="004C5BBD">
            <w:pPr>
              <w:rPr>
                <w:rFonts w:eastAsia="Open Sans Light" w:cs="Arial"/>
              </w:rPr>
            </w:pPr>
          </w:p>
        </w:tc>
      </w:tr>
      <w:tr w:rsidR="004A40F8" w:rsidRPr="00D470FD" w14:paraId="754FC9AD"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7C86415" w14:textId="131EAF2D" w:rsidR="004A40F8" w:rsidRPr="00D470FD" w:rsidRDefault="004A40F8" w:rsidP="004A40F8">
            <w:pPr>
              <w:ind w:left="285"/>
              <w:rPr>
                <w:rFonts w:eastAsia="Open Sans Light" w:cs="Arial"/>
              </w:rPr>
            </w:pPr>
            <w:r w:rsidRPr="00D470FD">
              <w:rPr>
                <w:rFonts w:eastAsia="Open Sans Light" w:cs="Arial"/>
              </w:rPr>
              <w:t>2.1.2 an HNC will be worth 1200 hours of TQT and 480 hours of GL.</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2DB43486" w14:textId="77777777" w:rsidR="004A40F8" w:rsidRPr="00D470FD" w:rsidRDefault="004A40F8" w:rsidP="004C5BBD">
            <w:pPr>
              <w:rPr>
                <w:rFonts w:eastAsia="Open Sans Light" w:cs="Arial"/>
              </w:rPr>
            </w:pPr>
          </w:p>
        </w:tc>
      </w:tr>
      <w:tr w:rsidR="00D470FD" w:rsidRPr="00D470FD" w14:paraId="7D50400B" w14:textId="77777777" w:rsidTr="00795774">
        <w:trPr>
          <w:trHeight w:val="835"/>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5E54F91" w14:textId="77777777" w:rsidR="00D470FD" w:rsidRPr="00D470FD" w:rsidRDefault="00D470FD" w:rsidP="004C5BBD">
            <w:pPr>
              <w:ind w:left="36"/>
              <w:rPr>
                <w:rFonts w:eastAsia="Open Sans Light" w:cs="Arial"/>
              </w:rPr>
            </w:pPr>
            <w:r w:rsidRPr="00D470FD">
              <w:rPr>
                <w:rFonts w:eastAsia="Open Sans Light" w:cs="Arial"/>
              </w:rPr>
              <w:t xml:space="preserve">2.2 Core/compulsory modules credit values may vary by subject but will not be less than 30% of the whole qualification. </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692A2A5E" w14:textId="70BA7D5F" w:rsidR="00D470FD" w:rsidRPr="00D470FD" w:rsidRDefault="00D470FD" w:rsidP="004C5BBD">
            <w:pPr>
              <w:rPr>
                <w:rFonts w:eastAsia="Open Sans Light" w:cs="Arial"/>
              </w:rPr>
            </w:pPr>
            <w:r w:rsidRPr="00D470FD">
              <w:rPr>
                <w:rFonts w:eastAsia="Open Sans Light" w:cs="Arial"/>
              </w:rPr>
              <w:t xml:space="preserve">Course specifications </w:t>
            </w:r>
          </w:p>
          <w:p w14:paraId="11A836F0" w14:textId="3D68918F" w:rsidR="00D470FD" w:rsidRPr="00D470FD" w:rsidRDefault="00D470FD" w:rsidP="004C5BBD">
            <w:pPr>
              <w:rPr>
                <w:rFonts w:eastAsia="Open Sans Light" w:cs="Arial"/>
              </w:rPr>
            </w:pPr>
            <w:r w:rsidRPr="00D470FD">
              <w:rPr>
                <w:rFonts w:eastAsia="Open Sans Light" w:cs="Arial"/>
              </w:rPr>
              <w:t>Module specifications</w:t>
            </w:r>
            <w:r w:rsidR="00995991">
              <w:rPr>
                <w:rFonts w:eastAsia="Open Sans Light" w:cs="Arial"/>
              </w:rPr>
              <w:t xml:space="preserve"> </w:t>
            </w:r>
          </w:p>
        </w:tc>
      </w:tr>
      <w:tr w:rsidR="00D470FD" w:rsidRPr="00D470FD" w14:paraId="60FA1417"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EB78AFF" w14:textId="41B64D2D" w:rsidR="00D470FD" w:rsidRPr="00D470FD" w:rsidRDefault="00D470FD" w:rsidP="004A40F8">
            <w:pPr>
              <w:ind w:left="36"/>
              <w:rPr>
                <w:rFonts w:eastAsia="Open Sans Light" w:cs="Arial"/>
              </w:rPr>
            </w:pPr>
            <w:r w:rsidRPr="00D470FD">
              <w:rPr>
                <w:rFonts w:eastAsia="Open Sans Light" w:cs="Arial"/>
              </w:rPr>
              <w:t xml:space="preserve">2.3 All Higher Nationals share the following guiding characteristics: </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625C4F79" w14:textId="6FA4F217" w:rsidR="00D470FD" w:rsidRPr="00D470FD" w:rsidRDefault="00D470FD" w:rsidP="004C5BBD">
            <w:pPr>
              <w:rPr>
                <w:rFonts w:eastAsia="Open Sans Light" w:cs="Arial"/>
              </w:rPr>
            </w:pPr>
            <w:r w:rsidRPr="00D470FD">
              <w:rPr>
                <w:rFonts w:eastAsia="Open Sans Light" w:cs="Arial"/>
              </w:rPr>
              <w:t>Validation report</w:t>
            </w:r>
            <w:r w:rsidR="00995991">
              <w:rPr>
                <w:rFonts w:eastAsia="Open Sans Light" w:cs="Arial"/>
              </w:rPr>
              <w:t xml:space="preserve"> </w:t>
            </w:r>
          </w:p>
          <w:p w14:paraId="0A61B219" w14:textId="25E83FB6" w:rsidR="00D470FD" w:rsidRPr="00D470FD" w:rsidRDefault="00D470FD" w:rsidP="004C5BBD">
            <w:pPr>
              <w:rPr>
                <w:rFonts w:eastAsia="Open Sans Light" w:cs="Arial"/>
              </w:rPr>
            </w:pPr>
            <w:r w:rsidRPr="00D470FD">
              <w:rPr>
                <w:rFonts w:eastAsia="Open Sans Light" w:cs="Arial"/>
              </w:rPr>
              <w:t>Course specification</w:t>
            </w:r>
            <w:r w:rsidR="00995991">
              <w:rPr>
                <w:rFonts w:eastAsia="Open Sans Light" w:cs="Arial"/>
              </w:rPr>
              <w:t xml:space="preserve"> </w:t>
            </w:r>
          </w:p>
        </w:tc>
      </w:tr>
      <w:tr w:rsidR="004A40F8" w:rsidRPr="00D470FD" w14:paraId="290F269C"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34BC6B6" w14:textId="1CC16116" w:rsidR="004A40F8" w:rsidRPr="00D470FD" w:rsidRDefault="004A40F8" w:rsidP="004A40F8">
            <w:pPr>
              <w:ind w:left="285"/>
              <w:rPr>
                <w:rFonts w:eastAsia="Open Sans Light" w:cs="Arial"/>
              </w:rPr>
            </w:pPr>
            <w:r w:rsidRPr="00D470FD">
              <w:rPr>
                <w:rFonts w:eastAsia="Open Sans Light" w:cs="Arial"/>
              </w:rPr>
              <w:t>2.3.1 Include significant employer/industry involvement in their development and design.</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0D12E606" w14:textId="77777777" w:rsidR="004A40F8" w:rsidRPr="00D470FD" w:rsidRDefault="004A40F8" w:rsidP="004C5BBD">
            <w:pPr>
              <w:rPr>
                <w:rFonts w:eastAsia="Open Sans Light" w:cs="Arial"/>
              </w:rPr>
            </w:pPr>
          </w:p>
        </w:tc>
      </w:tr>
      <w:tr w:rsidR="00D470FD" w:rsidRPr="00D470FD" w14:paraId="6A8D1B7A"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4E19A3B" w14:textId="6D469F03" w:rsidR="00D470FD" w:rsidRPr="00D470FD" w:rsidRDefault="00D470FD" w:rsidP="004A40F8">
            <w:pPr>
              <w:ind w:left="720" w:hanging="435"/>
              <w:rPr>
                <w:rFonts w:eastAsia="Open Sans Light" w:cs="Arial"/>
              </w:rPr>
            </w:pPr>
            <w:r w:rsidRPr="00D470FD">
              <w:rPr>
                <w:rFonts w:eastAsia="Open Sans Light" w:cs="Arial"/>
              </w:rPr>
              <w:t>2.3.2 Demonstrate access from level 3</w:t>
            </w:r>
            <w:r w:rsidR="00995991">
              <w:rPr>
                <w:rFonts w:eastAsia="Open Sans Light" w:cs="Arial"/>
              </w:rPr>
              <w:t>.</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0DE6CE82" w14:textId="59E0FD8F" w:rsidR="00D470FD" w:rsidRPr="00D470FD" w:rsidRDefault="00D470FD" w:rsidP="004C5BBD">
            <w:pPr>
              <w:rPr>
                <w:rFonts w:eastAsia="Open Sans Light" w:cs="Arial"/>
              </w:rPr>
            </w:pPr>
            <w:r w:rsidRPr="00D470FD">
              <w:rPr>
                <w:rFonts w:eastAsia="Open Sans Light" w:cs="Arial"/>
              </w:rPr>
              <w:t xml:space="preserve"> Course specification</w:t>
            </w:r>
            <w:r w:rsidR="00995991">
              <w:rPr>
                <w:rFonts w:eastAsia="Open Sans Light" w:cs="Arial"/>
              </w:rPr>
              <w:t xml:space="preserve"> </w:t>
            </w:r>
          </w:p>
        </w:tc>
      </w:tr>
      <w:tr w:rsidR="00D470FD" w:rsidRPr="00D470FD" w14:paraId="09D951D4"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4EFE0F7" w14:textId="00D10177" w:rsidR="00D470FD" w:rsidRPr="00D470FD" w:rsidRDefault="00D470FD" w:rsidP="004A40F8">
            <w:pPr>
              <w:ind w:left="285"/>
              <w:rPr>
                <w:rFonts w:eastAsia="Open Sans Light" w:cs="Arial"/>
              </w:rPr>
            </w:pPr>
            <w:r w:rsidRPr="00D470FD">
              <w:rPr>
                <w:rFonts w:eastAsia="Open Sans Light" w:cs="Arial"/>
              </w:rPr>
              <w:lastRenderedPageBreak/>
              <w:t xml:space="preserve">2.3.3 Demonstrate that graduates at each level of the HN have the requisite skills and abilities to progress to the next level of study should they so choose. This includes ensuring that HND graduates can progress to level 6. </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519630C2" w14:textId="276C4BFD" w:rsidR="00D470FD" w:rsidRPr="00D470FD" w:rsidRDefault="00D470FD" w:rsidP="004C5BBD">
            <w:pPr>
              <w:rPr>
                <w:rFonts w:eastAsia="Open Sans Light" w:cs="Arial"/>
              </w:rPr>
            </w:pPr>
            <w:r w:rsidRPr="00D470FD">
              <w:rPr>
                <w:rFonts w:eastAsia="Open Sans Light" w:cs="Arial"/>
              </w:rPr>
              <w:t xml:space="preserve"> Course specification</w:t>
            </w:r>
            <w:r w:rsidR="00995991">
              <w:rPr>
                <w:rFonts w:eastAsia="Open Sans Light" w:cs="Arial"/>
              </w:rPr>
              <w:t xml:space="preserve"> </w:t>
            </w:r>
          </w:p>
        </w:tc>
      </w:tr>
      <w:tr w:rsidR="00D470FD" w:rsidRPr="00D470FD" w14:paraId="41C9BAFB"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192ECC8" w14:textId="5B817A3D" w:rsidR="00D470FD" w:rsidRPr="00D470FD" w:rsidRDefault="00D470FD" w:rsidP="004A40F8">
            <w:pPr>
              <w:ind w:left="285"/>
              <w:rPr>
                <w:rFonts w:eastAsia="Open Sans Light" w:cs="Arial"/>
              </w:rPr>
            </w:pPr>
            <w:r w:rsidRPr="00D470FD">
              <w:rPr>
                <w:rFonts w:eastAsia="Open Sans Light" w:cs="Arial"/>
              </w:rPr>
              <w:t>2.3.4 Include mandatory work skills development through work experience and/or realistic work-related learning.</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6C9274DE" w14:textId="77777777" w:rsidR="00D470FD" w:rsidRPr="00D470FD" w:rsidRDefault="00D470FD" w:rsidP="004C5BBD">
            <w:pPr>
              <w:rPr>
                <w:rFonts w:eastAsia="Open Sans Light" w:cs="Arial"/>
              </w:rPr>
            </w:pPr>
            <w:r w:rsidRPr="00D470FD">
              <w:rPr>
                <w:rFonts w:eastAsia="Open Sans Light" w:cs="Arial"/>
              </w:rPr>
              <w:t xml:space="preserve">Validation report </w:t>
            </w:r>
          </w:p>
          <w:p w14:paraId="499A5C0A" w14:textId="00ABF81D" w:rsidR="00D470FD" w:rsidRPr="00D470FD" w:rsidRDefault="00D470FD" w:rsidP="004C5BBD">
            <w:pPr>
              <w:rPr>
                <w:rFonts w:eastAsia="Open Sans Light" w:cs="Arial"/>
              </w:rPr>
            </w:pPr>
            <w:r w:rsidRPr="00D470FD">
              <w:rPr>
                <w:rFonts w:eastAsia="Open Sans Light" w:cs="Arial"/>
              </w:rPr>
              <w:t>Course specification</w:t>
            </w:r>
            <w:r w:rsidR="00995991">
              <w:rPr>
                <w:rFonts w:eastAsia="Open Sans Light" w:cs="Arial"/>
              </w:rPr>
              <w:t xml:space="preserve"> </w:t>
            </w:r>
          </w:p>
        </w:tc>
      </w:tr>
      <w:tr w:rsidR="00D470FD" w:rsidRPr="00D470FD" w14:paraId="01B7865C"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0C9DBA4" w14:textId="4CA1ABB2" w:rsidR="00D470FD" w:rsidRPr="00D470FD" w:rsidRDefault="00D470FD" w:rsidP="00610B1D">
            <w:pPr>
              <w:ind w:left="285"/>
              <w:rPr>
                <w:rFonts w:eastAsia="Open Sans Light" w:cs="Arial"/>
              </w:rPr>
            </w:pPr>
            <w:r w:rsidRPr="00D470FD">
              <w:rPr>
                <w:rFonts w:eastAsia="Open Sans Light" w:cs="Arial"/>
              </w:rPr>
              <w:t>2.3.5 Evidence of development and assessment of students’ knowledge and skills in:</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1AFBFD78" w14:textId="605A23C9" w:rsidR="00D470FD" w:rsidRPr="00D470FD" w:rsidRDefault="00D470FD" w:rsidP="004C5BBD">
            <w:pPr>
              <w:rPr>
                <w:rFonts w:eastAsia="Open Sans Light" w:cs="Arial"/>
              </w:rPr>
            </w:pPr>
            <w:r w:rsidRPr="00D470FD">
              <w:rPr>
                <w:rFonts w:eastAsia="Open Sans Light" w:cs="Arial"/>
              </w:rPr>
              <w:t>Assessment methods in module specifications</w:t>
            </w:r>
            <w:r w:rsidR="00995991">
              <w:rPr>
                <w:rFonts w:eastAsia="Open Sans Light" w:cs="Arial"/>
              </w:rPr>
              <w:t xml:space="preserve"> </w:t>
            </w:r>
          </w:p>
          <w:p w14:paraId="5037A4BB" w14:textId="7D1BB926" w:rsidR="00D470FD" w:rsidRPr="00D470FD" w:rsidRDefault="00D470FD" w:rsidP="004C5BBD">
            <w:pPr>
              <w:rPr>
                <w:rFonts w:eastAsia="Open Sans Light" w:cs="Arial"/>
              </w:rPr>
            </w:pPr>
            <w:r w:rsidRPr="00D470FD">
              <w:rPr>
                <w:rFonts w:eastAsia="Open Sans Light" w:cs="Arial"/>
              </w:rPr>
              <w:t>Course handbook</w:t>
            </w:r>
            <w:r w:rsidR="00995991">
              <w:rPr>
                <w:rFonts w:eastAsia="Open Sans Light" w:cs="Arial"/>
              </w:rPr>
              <w:t xml:space="preserve"> </w:t>
            </w:r>
          </w:p>
        </w:tc>
      </w:tr>
      <w:tr w:rsidR="004A40F8" w:rsidRPr="00D470FD" w14:paraId="2012F471"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9A57A19" w14:textId="519D7401" w:rsidR="004A40F8" w:rsidRPr="00D470FD" w:rsidRDefault="00610B1D" w:rsidP="00610B1D">
            <w:pPr>
              <w:ind w:left="465"/>
              <w:rPr>
                <w:rFonts w:eastAsia="Open Sans Light" w:cs="Arial"/>
              </w:rPr>
            </w:pPr>
            <w:r w:rsidRPr="00D470FD">
              <w:rPr>
                <w:rFonts w:eastAsia="Open Sans Light" w:cs="Arial"/>
              </w:rPr>
              <w:t>2.3.5.1 Communication, including written English, or relevant other language</w:t>
            </w:r>
            <w:r>
              <w:rPr>
                <w:rFonts w:eastAsia="Open Sans Light" w:cs="Arial"/>
              </w:rPr>
              <w:t>.</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5C4A0E49" w14:textId="77777777" w:rsidR="004A40F8" w:rsidRPr="00D470FD" w:rsidRDefault="004A40F8" w:rsidP="004C5BBD">
            <w:pPr>
              <w:rPr>
                <w:rFonts w:eastAsia="Open Sans Light" w:cs="Arial"/>
              </w:rPr>
            </w:pPr>
          </w:p>
        </w:tc>
      </w:tr>
      <w:tr w:rsidR="004A40F8" w:rsidRPr="00D470FD" w14:paraId="234F0F64"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794DF31" w14:textId="7E83D155" w:rsidR="004A40F8" w:rsidRPr="00D470FD" w:rsidRDefault="004A40F8" w:rsidP="00795774">
            <w:pPr>
              <w:ind w:left="465"/>
              <w:rPr>
                <w:rFonts w:eastAsia="Open Sans Light" w:cs="Arial"/>
              </w:rPr>
            </w:pPr>
            <w:r w:rsidRPr="00D470FD">
              <w:rPr>
                <w:rFonts w:eastAsia="Open Sans Light" w:cs="Arial"/>
              </w:rPr>
              <w:t>2.3.5.2 Numeracy</w:t>
            </w:r>
            <w:r w:rsidR="00995991">
              <w:rPr>
                <w:rFonts w:eastAsia="Open Sans Light" w:cs="Arial"/>
              </w:rPr>
              <w:t>.</w:t>
            </w:r>
            <w:r w:rsidRPr="00D470FD">
              <w:rPr>
                <w:rFonts w:eastAsia="Open Sans Light" w:cs="Arial"/>
              </w:rPr>
              <w:t xml:space="preserve"> </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25435636" w14:textId="77777777" w:rsidR="004A40F8" w:rsidRPr="00D470FD" w:rsidRDefault="004A40F8" w:rsidP="004C5BBD">
            <w:pPr>
              <w:rPr>
                <w:rFonts w:eastAsia="Open Sans Light" w:cs="Arial"/>
              </w:rPr>
            </w:pPr>
          </w:p>
        </w:tc>
      </w:tr>
      <w:tr w:rsidR="004A40F8" w:rsidRPr="00D470FD" w14:paraId="422E4E61"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5E8428E" w14:textId="494F33D2" w:rsidR="004A40F8" w:rsidRPr="00D470FD" w:rsidRDefault="004A40F8" w:rsidP="00610B1D">
            <w:pPr>
              <w:ind w:left="465"/>
              <w:rPr>
                <w:rFonts w:eastAsia="Open Sans Light" w:cs="Arial"/>
              </w:rPr>
            </w:pPr>
            <w:r w:rsidRPr="00D470FD">
              <w:rPr>
                <w:rFonts w:eastAsia="Open Sans Light" w:cs="Arial"/>
              </w:rPr>
              <w:t>2.3.5.3 Enterprise and commercial awareness</w:t>
            </w:r>
            <w:r w:rsidR="00995991">
              <w:rPr>
                <w:rFonts w:eastAsia="Open Sans Light" w:cs="Arial"/>
              </w:rPr>
              <w:t>.</w:t>
            </w:r>
            <w:r w:rsidRPr="00D470FD">
              <w:rPr>
                <w:rFonts w:eastAsia="Open Sans Light" w:cs="Arial"/>
              </w:rPr>
              <w:t xml:space="preserve"> </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1A4E2000" w14:textId="77777777" w:rsidR="004A40F8" w:rsidRPr="00D470FD" w:rsidRDefault="004A40F8" w:rsidP="004C5BBD">
            <w:pPr>
              <w:rPr>
                <w:rFonts w:eastAsia="Open Sans Light" w:cs="Arial"/>
              </w:rPr>
            </w:pPr>
          </w:p>
        </w:tc>
      </w:tr>
      <w:tr w:rsidR="004A40F8" w:rsidRPr="00D470FD" w14:paraId="7F1BDF33"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5144207" w14:textId="7B9A6BE5" w:rsidR="004A40F8" w:rsidRPr="00D470FD" w:rsidRDefault="004A40F8" w:rsidP="00795774">
            <w:pPr>
              <w:ind w:left="720" w:hanging="255"/>
              <w:rPr>
                <w:rFonts w:eastAsia="Open Sans Light" w:cs="Arial"/>
              </w:rPr>
            </w:pPr>
            <w:r w:rsidRPr="00D470FD">
              <w:rPr>
                <w:rFonts w:eastAsia="Open Sans Light" w:cs="Arial"/>
              </w:rPr>
              <w:t>2.3.5.4 Problem solving</w:t>
            </w:r>
            <w:r w:rsidR="00995991">
              <w:rPr>
                <w:rFonts w:eastAsia="Open Sans Light" w:cs="Arial"/>
              </w:rPr>
              <w:t>.</w:t>
            </w:r>
            <w:r w:rsidRPr="00D470FD">
              <w:rPr>
                <w:rFonts w:eastAsia="Open Sans Light" w:cs="Arial"/>
              </w:rPr>
              <w:t xml:space="preserve"> </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0535E196" w14:textId="77777777" w:rsidR="004A40F8" w:rsidRPr="00D470FD" w:rsidRDefault="004A40F8" w:rsidP="004C5BBD">
            <w:pPr>
              <w:rPr>
                <w:rFonts w:eastAsia="Open Sans Light" w:cs="Arial"/>
              </w:rPr>
            </w:pPr>
          </w:p>
        </w:tc>
      </w:tr>
      <w:tr w:rsidR="004A40F8" w:rsidRPr="00D470FD" w14:paraId="275ACDB3" w14:textId="77777777" w:rsidTr="00795774">
        <w:trPr>
          <w:trHeight w:val="300"/>
        </w:trPr>
        <w:tc>
          <w:tcPr>
            <w:tcW w:w="496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8C1F33B" w14:textId="6E2A2F0B" w:rsidR="004A40F8" w:rsidRPr="00D470FD" w:rsidRDefault="004A40F8" w:rsidP="00D33C2A">
            <w:pPr>
              <w:ind w:left="465"/>
              <w:rPr>
                <w:rFonts w:eastAsia="Open Sans Light" w:cs="Arial"/>
              </w:rPr>
            </w:pPr>
            <w:r w:rsidRPr="00D470FD">
              <w:rPr>
                <w:rFonts w:eastAsia="Open Sans Light" w:cs="Arial"/>
              </w:rPr>
              <w:t>2.3.5.5 Self-reflection and critical appraisal</w:t>
            </w:r>
            <w:r w:rsidR="00995991">
              <w:rPr>
                <w:rFonts w:eastAsia="Open Sans Light" w:cs="Arial"/>
              </w:rPr>
              <w:t>.</w:t>
            </w:r>
          </w:p>
        </w:tc>
        <w:tc>
          <w:tcPr>
            <w:tcW w:w="5244" w:type="dxa"/>
            <w:tcBorders>
              <w:top w:val="single" w:sz="8" w:space="0" w:color="auto"/>
              <w:left w:val="single" w:sz="8" w:space="0" w:color="auto"/>
              <w:bottom w:val="single" w:sz="8" w:space="0" w:color="auto"/>
              <w:right w:val="single" w:sz="8" w:space="0" w:color="auto"/>
            </w:tcBorders>
            <w:tcMar>
              <w:left w:w="108" w:type="dxa"/>
              <w:right w:w="108" w:type="dxa"/>
            </w:tcMar>
          </w:tcPr>
          <w:p w14:paraId="339CF474" w14:textId="77777777" w:rsidR="004A40F8" w:rsidRPr="00D470FD" w:rsidRDefault="004A40F8" w:rsidP="004C5BBD">
            <w:pPr>
              <w:rPr>
                <w:rFonts w:eastAsia="Open Sans Light" w:cs="Arial"/>
              </w:rPr>
            </w:pPr>
          </w:p>
        </w:tc>
      </w:tr>
    </w:tbl>
    <w:p w14:paraId="740EED57" w14:textId="77777777" w:rsidR="00D470FD" w:rsidRPr="00D470FD" w:rsidRDefault="00D470FD">
      <w:pPr>
        <w:rPr>
          <w:rFonts w:cs="Arial"/>
        </w:rPr>
      </w:pPr>
    </w:p>
    <w:sectPr w:rsidR="00D470FD" w:rsidRPr="00D470FD" w:rsidSect="00ED3B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793B" w14:textId="77777777" w:rsidR="00795774" w:rsidRDefault="00795774" w:rsidP="00795774">
      <w:r>
        <w:separator/>
      </w:r>
    </w:p>
  </w:endnote>
  <w:endnote w:type="continuationSeparator" w:id="0">
    <w:p w14:paraId="4CA123CC" w14:textId="77777777" w:rsidR="00795774" w:rsidRDefault="00795774" w:rsidP="007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21426"/>
      <w:docPartObj>
        <w:docPartGallery w:val="Page Numbers (Bottom of Page)"/>
        <w:docPartUnique/>
      </w:docPartObj>
    </w:sdtPr>
    <w:sdtEndPr>
      <w:rPr>
        <w:noProof/>
        <w:sz w:val="20"/>
        <w:szCs w:val="20"/>
      </w:rPr>
    </w:sdtEndPr>
    <w:sdtContent>
      <w:p w14:paraId="357D7793" w14:textId="668E42F1" w:rsidR="00995991" w:rsidRPr="00995991" w:rsidRDefault="00995991">
        <w:pPr>
          <w:pStyle w:val="Footer"/>
          <w:jc w:val="right"/>
          <w:rPr>
            <w:sz w:val="20"/>
            <w:szCs w:val="20"/>
          </w:rPr>
        </w:pPr>
        <w:r w:rsidRPr="00995991">
          <w:rPr>
            <w:sz w:val="20"/>
            <w:szCs w:val="20"/>
          </w:rPr>
          <w:fldChar w:fldCharType="begin"/>
        </w:r>
        <w:r w:rsidRPr="00995991">
          <w:rPr>
            <w:sz w:val="20"/>
            <w:szCs w:val="20"/>
          </w:rPr>
          <w:instrText xml:space="preserve"> PAGE   \* MERGEFORMAT </w:instrText>
        </w:r>
        <w:r w:rsidRPr="00995991">
          <w:rPr>
            <w:sz w:val="20"/>
            <w:szCs w:val="20"/>
          </w:rPr>
          <w:fldChar w:fldCharType="separate"/>
        </w:r>
        <w:r w:rsidRPr="00995991">
          <w:rPr>
            <w:noProof/>
            <w:sz w:val="20"/>
            <w:szCs w:val="20"/>
          </w:rPr>
          <w:t>2</w:t>
        </w:r>
        <w:r w:rsidRPr="00995991">
          <w:rPr>
            <w:noProof/>
            <w:sz w:val="20"/>
            <w:szCs w:val="20"/>
          </w:rPr>
          <w:fldChar w:fldCharType="end"/>
        </w:r>
      </w:p>
    </w:sdtContent>
  </w:sdt>
  <w:p w14:paraId="5CA7CB07" w14:textId="3233053E" w:rsidR="00795774" w:rsidRPr="00995991" w:rsidRDefault="00995991" w:rsidP="00995991">
    <w:pPr>
      <w:pStyle w:val="Footer"/>
      <w:jc w:val="right"/>
      <w:rPr>
        <w:sz w:val="18"/>
        <w:szCs w:val="18"/>
      </w:rPr>
    </w:pPr>
    <w:r>
      <w:rPr>
        <w:sz w:val="18"/>
        <w:szCs w:val="18"/>
      </w:rPr>
      <w:t>Quality Framework Chapter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1ACA" w14:textId="77777777" w:rsidR="00795774" w:rsidRDefault="00795774" w:rsidP="00795774">
      <w:r>
        <w:separator/>
      </w:r>
    </w:p>
  </w:footnote>
  <w:footnote w:type="continuationSeparator" w:id="0">
    <w:p w14:paraId="6EE7AF32" w14:textId="77777777" w:rsidR="00795774" w:rsidRDefault="00795774" w:rsidP="0079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6BBB" w14:textId="1CAEE4A9" w:rsidR="00795774" w:rsidRPr="00995991" w:rsidRDefault="00995991" w:rsidP="00995991">
    <w:pPr>
      <w:pStyle w:val="Header"/>
      <w:jc w:val="right"/>
      <w:rPr>
        <w:sz w:val="22"/>
        <w:szCs w:val="22"/>
      </w:rPr>
    </w:pPr>
    <w:r>
      <w:rPr>
        <w:sz w:val="22"/>
        <w:szCs w:val="22"/>
      </w:rPr>
      <w:t>C-CMM Annex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0265"/>
    <w:multiLevelType w:val="hybridMultilevel"/>
    <w:tmpl w:val="2D9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E00A6"/>
    <w:multiLevelType w:val="hybridMultilevel"/>
    <w:tmpl w:val="03D21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12741C"/>
    <w:multiLevelType w:val="hybridMultilevel"/>
    <w:tmpl w:val="3B0A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85751">
    <w:abstractNumId w:val="1"/>
  </w:num>
  <w:num w:numId="2" w16cid:durableId="2098017063">
    <w:abstractNumId w:val="0"/>
  </w:num>
  <w:num w:numId="3" w16cid:durableId="594872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21"/>
    <w:rsid w:val="00021386"/>
    <w:rsid w:val="0002404B"/>
    <w:rsid w:val="000B2080"/>
    <w:rsid w:val="000F3A3B"/>
    <w:rsid w:val="0024393B"/>
    <w:rsid w:val="00273088"/>
    <w:rsid w:val="00467FDB"/>
    <w:rsid w:val="0047497B"/>
    <w:rsid w:val="004A40F8"/>
    <w:rsid w:val="0052597F"/>
    <w:rsid w:val="005737A0"/>
    <w:rsid w:val="005B6CFF"/>
    <w:rsid w:val="00610B1D"/>
    <w:rsid w:val="00642F71"/>
    <w:rsid w:val="006E4BDB"/>
    <w:rsid w:val="00795774"/>
    <w:rsid w:val="00820D8D"/>
    <w:rsid w:val="008653A6"/>
    <w:rsid w:val="00896E40"/>
    <w:rsid w:val="00916A42"/>
    <w:rsid w:val="0092131B"/>
    <w:rsid w:val="00951B5E"/>
    <w:rsid w:val="00995991"/>
    <w:rsid w:val="009D79BB"/>
    <w:rsid w:val="00A313A3"/>
    <w:rsid w:val="00AC6F85"/>
    <w:rsid w:val="00B20043"/>
    <w:rsid w:val="00C42921"/>
    <w:rsid w:val="00C4699E"/>
    <w:rsid w:val="00C46E56"/>
    <w:rsid w:val="00C50ADC"/>
    <w:rsid w:val="00CB6D05"/>
    <w:rsid w:val="00D33C2A"/>
    <w:rsid w:val="00D470FD"/>
    <w:rsid w:val="00E34DA8"/>
    <w:rsid w:val="00ED3B23"/>
    <w:rsid w:val="00F179B4"/>
    <w:rsid w:val="00F476CA"/>
    <w:rsid w:val="00F738D8"/>
    <w:rsid w:val="00F9314C"/>
    <w:rsid w:val="00FE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AC9A"/>
  <w15:chartTrackingRefBased/>
  <w15:docId w15:val="{435CBAA0-2E2F-44C2-B51B-5BE8DEE5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2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character" w:styleId="CommentReference">
    <w:name w:val="annotation reference"/>
    <w:basedOn w:val="DefaultParagraphFont"/>
    <w:uiPriority w:val="99"/>
    <w:semiHidden/>
    <w:unhideWhenUsed/>
    <w:rsid w:val="00916A42"/>
    <w:rPr>
      <w:sz w:val="16"/>
      <w:szCs w:val="16"/>
    </w:rPr>
  </w:style>
  <w:style w:type="paragraph" w:styleId="CommentText">
    <w:name w:val="annotation text"/>
    <w:basedOn w:val="Normal"/>
    <w:link w:val="CommentTextChar"/>
    <w:uiPriority w:val="99"/>
    <w:unhideWhenUsed/>
    <w:rsid w:val="00916A42"/>
    <w:rPr>
      <w:sz w:val="20"/>
      <w:szCs w:val="20"/>
    </w:rPr>
  </w:style>
  <w:style w:type="character" w:customStyle="1" w:styleId="CommentTextChar">
    <w:name w:val="Comment Text Char"/>
    <w:basedOn w:val="DefaultParagraphFont"/>
    <w:link w:val="CommentText"/>
    <w:uiPriority w:val="99"/>
    <w:rsid w:val="00916A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393B"/>
    <w:rPr>
      <w:b/>
      <w:bCs/>
    </w:rPr>
  </w:style>
  <w:style w:type="character" w:customStyle="1" w:styleId="CommentSubjectChar">
    <w:name w:val="Comment Subject Char"/>
    <w:basedOn w:val="CommentTextChar"/>
    <w:link w:val="CommentSubject"/>
    <w:uiPriority w:val="99"/>
    <w:semiHidden/>
    <w:rsid w:val="0024393B"/>
    <w:rPr>
      <w:rFonts w:ascii="Arial" w:eastAsia="Times New Roman" w:hAnsi="Arial" w:cs="Times New Roman"/>
      <w:b/>
      <w:bCs/>
      <w:sz w:val="20"/>
      <w:szCs w:val="20"/>
    </w:rPr>
  </w:style>
  <w:style w:type="table" w:styleId="TableGrid">
    <w:name w:val="Table Grid"/>
    <w:basedOn w:val="TableNormal"/>
    <w:uiPriority w:val="99"/>
    <w:rsid w:val="00474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774"/>
    <w:pPr>
      <w:tabs>
        <w:tab w:val="center" w:pos="4513"/>
        <w:tab w:val="right" w:pos="9026"/>
      </w:tabs>
    </w:pPr>
  </w:style>
  <w:style w:type="character" w:customStyle="1" w:styleId="HeaderChar">
    <w:name w:val="Header Char"/>
    <w:basedOn w:val="DefaultParagraphFont"/>
    <w:link w:val="Header"/>
    <w:uiPriority w:val="99"/>
    <w:rsid w:val="00795774"/>
    <w:rPr>
      <w:rFonts w:ascii="Arial" w:eastAsia="Times New Roman" w:hAnsi="Arial" w:cs="Times New Roman"/>
      <w:sz w:val="24"/>
      <w:szCs w:val="24"/>
    </w:rPr>
  </w:style>
  <w:style w:type="paragraph" w:styleId="Footer">
    <w:name w:val="footer"/>
    <w:basedOn w:val="Normal"/>
    <w:link w:val="FooterChar"/>
    <w:uiPriority w:val="99"/>
    <w:unhideWhenUsed/>
    <w:rsid w:val="00795774"/>
    <w:pPr>
      <w:tabs>
        <w:tab w:val="center" w:pos="4513"/>
        <w:tab w:val="right" w:pos="9026"/>
      </w:tabs>
    </w:pPr>
  </w:style>
  <w:style w:type="character" w:customStyle="1" w:styleId="FooterChar">
    <w:name w:val="Footer Char"/>
    <w:basedOn w:val="DefaultParagraphFont"/>
    <w:link w:val="Footer"/>
    <w:uiPriority w:val="99"/>
    <w:rsid w:val="0079577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Kate</dc:creator>
  <cp:keywords/>
  <dc:description/>
  <cp:lastModifiedBy>Turner, Janice</cp:lastModifiedBy>
  <cp:revision>5</cp:revision>
  <dcterms:created xsi:type="dcterms:W3CDTF">2024-01-17T12:17:00Z</dcterms:created>
  <dcterms:modified xsi:type="dcterms:W3CDTF">2024-01-18T08:29:00Z</dcterms:modified>
</cp:coreProperties>
</file>